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61A0D" w14:textId="24D1D120" w:rsidR="00A840AC" w:rsidRPr="00215B2C" w:rsidRDefault="003718C8">
      <w:pPr>
        <w:rPr>
          <w:b/>
          <w:color w:val="004B88"/>
        </w:rPr>
      </w:pPr>
      <w:r>
        <w:rPr>
          <w:noProof/>
        </w:rPr>
        <w:drawing>
          <wp:inline distT="19050" distB="19050" distL="19050" distR="19050" wp14:anchorId="39B0B4C2" wp14:editId="4B133617">
            <wp:extent cx="1062038" cy="1062038"/>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62038" cy="1062038"/>
                    </a:xfrm>
                    <a:prstGeom prst="rect">
                      <a:avLst/>
                    </a:prstGeom>
                    <a:ln/>
                  </pic:spPr>
                </pic:pic>
              </a:graphicData>
            </a:graphic>
          </wp:inline>
        </w:drawing>
      </w:r>
      <w:r w:rsidR="00215B2C">
        <w:tab/>
      </w:r>
      <w:r w:rsidR="00215B2C">
        <w:tab/>
      </w:r>
      <w:r w:rsidR="00215B2C">
        <w:tab/>
      </w:r>
      <w:r w:rsidR="00215B2C">
        <w:tab/>
      </w:r>
      <w:r w:rsidR="00215B2C">
        <w:tab/>
      </w:r>
      <w:r w:rsidR="00215B2C">
        <w:tab/>
      </w:r>
      <w:r w:rsidR="00215B2C">
        <w:tab/>
      </w:r>
      <w:r w:rsidR="00215B2C">
        <w:tab/>
      </w:r>
    </w:p>
    <w:p w14:paraId="25D22E61" w14:textId="77777777" w:rsidR="00A840AC" w:rsidRDefault="00A840AC">
      <w:pPr>
        <w:widowControl w:val="0"/>
        <w:spacing w:line="240" w:lineRule="auto"/>
      </w:pPr>
    </w:p>
    <w:p w14:paraId="0B4A07EC" w14:textId="77777777" w:rsidR="00A840AC" w:rsidRDefault="00A840AC">
      <w:pPr>
        <w:widowControl w:val="0"/>
        <w:spacing w:line="240" w:lineRule="auto"/>
        <w:rPr>
          <w:rFonts w:ascii="Open Sans" w:eastAsia="Open Sans" w:hAnsi="Open Sans" w:cs="Open Sans"/>
          <w:b/>
          <w:color w:val="004888"/>
          <w:sz w:val="54"/>
          <w:szCs w:val="54"/>
        </w:rPr>
      </w:pPr>
    </w:p>
    <w:p w14:paraId="321EA38E" w14:textId="77777777" w:rsidR="00A840AC" w:rsidRDefault="003718C8">
      <w:pPr>
        <w:widowControl w:val="0"/>
        <w:spacing w:line="240" w:lineRule="auto"/>
        <w:rPr>
          <w:rFonts w:ascii="Open Sans" w:eastAsia="Open Sans" w:hAnsi="Open Sans" w:cs="Open Sans"/>
          <w:b/>
          <w:color w:val="004888"/>
          <w:sz w:val="54"/>
          <w:szCs w:val="54"/>
        </w:rPr>
      </w:pPr>
      <w:r>
        <w:rPr>
          <w:rFonts w:ascii="Open Sans" w:eastAsia="Open Sans" w:hAnsi="Open Sans" w:cs="Open Sans"/>
          <w:b/>
          <w:color w:val="004888"/>
          <w:sz w:val="54"/>
          <w:szCs w:val="54"/>
        </w:rPr>
        <w:t>Best Practice Lead</w:t>
      </w:r>
    </w:p>
    <w:p w14:paraId="5C75489D" w14:textId="77777777" w:rsidR="00A840AC" w:rsidRDefault="003718C8">
      <w:pPr>
        <w:widowControl w:val="0"/>
        <w:spacing w:line="240" w:lineRule="auto"/>
        <w:rPr>
          <w:rFonts w:ascii="Open Sans" w:eastAsia="Open Sans" w:hAnsi="Open Sans" w:cs="Open Sans"/>
          <w:color w:val="004888"/>
          <w:sz w:val="54"/>
          <w:szCs w:val="54"/>
        </w:rPr>
      </w:pPr>
      <w:r>
        <w:rPr>
          <w:rFonts w:ascii="Open Sans" w:eastAsia="Open Sans" w:hAnsi="Open Sans" w:cs="Open Sans"/>
          <w:color w:val="004888"/>
          <w:sz w:val="54"/>
          <w:szCs w:val="54"/>
        </w:rPr>
        <w:t>Job pack</w:t>
      </w:r>
    </w:p>
    <w:p w14:paraId="1A6F9A8F" w14:textId="77777777" w:rsidR="00A840AC" w:rsidRDefault="00A840AC">
      <w:pPr>
        <w:widowControl w:val="0"/>
        <w:rPr>
          <w:rFonts w:ascii="Open Sans" w:eastAsia="Open Sans" w:hAnsi="Open Sans" w:cs="Open Sans"/>
          <w:color w:val="004888"/>
          <w:sz w:val="32"/>
          <w:szCs w:val="32"/>
        </w:rPr>
      </w:pPr>
    </w:p>
    <w:p w14:paraId="46892C87" w14:textId="77777777" w:rsidR="00A840AC" w:rsidRDefault="003718C8">
      <w:pPr>
        <w:widowControl w:val="0"/>
        <w:rPr>
          <w:rFonts w:ascii="Open Sans" w:eastAsia="Open Sans" w:hAnsi="Open Sans" w:cs="Open Sans"/>
          <w:color w:val="004888"/>
          <w:sz w:val="24"/>
          <w:szCs w:val="24"/>
        </w:rPr>
      </w:pPr>
      <w:r>
        <w:rPr>
          <w:rFonts w:ascii="Open Sans" w:eastAsia="Open Sans" w:hAnsi="Open Sans" w:cs="Open Sans"/>
          <w:color w:val="004888"/>
          <w:sz w:val="24"/>
          <w:szCs w:val="24"/>
        </w:rPr>
        <w:t xml:space="preserve">Thanks for your interest in working at </w:t>
      </w:r>
      <w:r w:rsidR="00C017A8">
        <w:rPr>
          <w:rFonts w:ascii="Open Sans" w:eastAsia="Open Sans" w:hAnsi="Open Sans" w:cs="Open Sans"/>
          <w:color w:val="004888"/>
          <w:sz w:val="24"/>
          <w:szCs w:val="24"/>
        </w:rPr>
        <w:t xml:space="preserve">North Tyneside </w:t>
      </w:r>
      <w:r>
        <w:rPr>
          <w:rFonts w:ascii="Open Sans" w:eastAsia="Open Sans" w:hAnsi="Open Sans" w:cs="Open Sans"/>
          <w:color w:val="004888"/>
          <w:sz w:val="24"/>
          <w:szCs w:val="24"/>
        </w:rPr>
        <w:t>Citizens Advice</w:t>
      </w:r>
      <w:r>
        <w:rPr>
          <w:rFonts w:ascii="Open Sans" w:eastAsia="Open Sans" w:hAnsi="Open Sans" w:cs="Open Sans"/>
          <w:b/>
          <w:color w:val="004888"/>
          <w:sz w:val="24"/>
          <w:szCs w:val="24"/>
        </w:rPr>
        <w:t>.</w:t>
      </w:r>
      <w:r>
        <w:rPr>
          <w:rFonts w:ascii="Open Sans" w:eastAsia="Open Sans" w:hAnsi="Open Sans" w:cs="Open Sans"/>
          <w:color w:val="004888"/>
          <w:sz w:val="24"/>
          <w:szCs w:val="24"/>
        </w:rPr>
        <w:t xml:space="preserve"> This job pack should give you everything you need to know to apply for this role and what it means to work at Citizens Advice.  </w:t>
      </w:r>
    </w:p>
    <w:p w14:paraId="177E02F3" w14:textId="77777777" w:rsidR="00A840AC" w:rsidRDefault="00A840AC">
      <w:pPr>
        <w:widowControl w:val="0"/>
        <w:rPr>
          <w:rFonts w:ascii="Open Sans" w:eastAsia="Open Sans" w:hAnsi="Open Sans" w:cs="Open Sans"/>
          <w:color w:val="004888"/>
          <w:sz w:val="24"/>
          <w:szCs w:val="24"/>
        </w:rPr>
      </w:pPr>
    </w:p>
    <w:p w14:paraId="5843D7D4" w14:textId="77777777" w:rsidR="00A840AC" w:rsidRDefault="003718C8">
      <w:pPr>
        <w:widowControl w:val="0"/>
        <w:spacing w:after="280"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In this pack you’ll find:</w:t>
      </w:r>
    </w:p>
    <w:p w14:paraId="3DBBB8A8" w14:textId="77777777" w:rsidR="00A840AC" w:rsidRDefault="003718C8">
      <w:pPr>
        <w:widowControl w:val="0"/>
        <w:numPr>
          <w:ilvl w:val="0"/>
          <w:numId w:val="3"/>
        </w:numPr>
        <w:spacing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Our values</w:t>
      </w:r>
    </w:p>
    <w:p w14:paraId="65A7DA4C" w14:textId="77777777" w:rsidR="00A840AC" w:rsidRDefault="003718C8">
      <w:pPr>
        <w:widowControl w:val="0"/>
        <w:numPr>
          <w:ilvl w:val="0"/>
          <w:numId w:val="3"/>
        </w:numPr>
        <w:spacing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3  things you should know about Citizens Advice</w:t>
      </w:r>
    </w:p>
    <w:p w14:paraId="736E8A92" w14:textId="77777777" w:rsidR="00A840AC" w:rsidRDefault="003718C8">
      <w:pPr>
        <w:widowControl w:val="0"/>
        <w:numPr>
          <w:ilvl w:val="0"/>
          <w:numId w:val="3"/>
        </w:numPr>
        <w:spacing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Information about the organisation and role</w:t>
      </w:r>
    </w:p>
    <w:p w14:paraId="72C6F1A1" w14:textId="77777777" w:rsidR="00A840AC" w:rsidRDefault="003718C8">
      <w:pPr>
        <w:widowControl w:val="0"/>
        <w:numPr>
          <w:ilvl w:val="0"/>
          <w:numId w:val="3"/>
        </w:numPr>
        <w:spacing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The role profile and person specification</w:t>
      </w:r>
    </w:p>
    <w:p w14:paraId="5530B196" w14:textId="77777777" w:rsidR="00A840AC" w:rsidRDefault="003718C8">
      <w:pPr>
        <w:widowControl w:val="0"/>
        <w:numPr>
          <w:ilvl w:val="0"/>
          <w:numId w:val="3"/>
        </w:numPr>
        <w:spacing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Our approach to equality and diversity</w:t>
      </w:r>
    </w:p>
    <w:p w14:paraId="4819AA53" w14:textId="77777777" w:rsidR="00A840AC" w:rsidRDefault="003718C8">
      <w:pPr>
        <w:widowControl w:val="0"/>
        <w:numPr>
          <w:ilvl w:val="0"/>
          <w:numId w:val="3"/>
        </w:numPr>
        <w:spacing w:after="280"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The benefits of working at Citizens Advice</w:t>
      </w:r>
    </w:p>
    <w:p w14:paraId="1BA7FC09" w14:textId="77777777" w:rsidR="00A840AC" w:rsidRDefault="00A840AC">
      <w:pPr>
        <w:widowControl w:val="0"/>
        <w:spacing w:line="240" w:lineRule="auto"/>
        <w:rPr>
          <w:rFonts w:ascii="Open Sans" w:eastAsia="Open Sans" w:hAnsi="Open Sans" w:cs="Open Sans"/>
          <w:b/>
          <w:color w:val="004888"/>
          <w:sz w:val="50"/>
          <w:szCs w:val="50"/>
        </w:rPr>
      </w:pPr>
    </w:p>
    <w:tbl>
      <w:tblPr>
        <w:tblStyle w:val="a"/>
        <w:tblW w:w="9029" w:type="dxa"/>
        <w:tblInd w:w="100" w:type="dxa"/>
        <w:tblLayout w:type="fixed"/>
        <w:tblLook w:val="0600" w:firstRow="0" w:lastRow="0" w:firstColumn="0" w:lastColumn="0" w:noHBand="1" w:noVBand="1"/>
      </w:tblPr>
      <w:tblGrid>
        <w:gridCol w:w="9029"/>
      </w:tblGrid>
      <w:tr w:rsidR="00A840AC" w14:paraId="484BEC15" w14:textId="77777777">
        <w:trPr>
          <w:trHeight w:val="6060"/>
        </w:trPr>
        <w:tc>
          <w:tcPr>
            <w:tcW w:w="9029" w:type="dxa"/>
            <w:tcBorders>
              <w:top w:val="nil"/>
              <w:left w:val="nil"/>
              <w:bottom w:val="nil"/>
              <w:right w:val="nil"/>
            </w:tcBorders>
            <w:shd w:val="clear" w:color="auto" w:fill="auto"/>
            <w:tcMar>
              <w:top w:w="100" w:type="dxa"/>
              <w:left w:w="100" w:type="dxa"/>
              <w:bottom w:w="100" w:type="dxa"/>
              <w:right w:w="100" w:type="dxa"/>
            </w:tcMar>
          </w:tcPr>
          <w:p w14:paraId="167C9C7F" w14:textId="77777777" w:rsidR="00A840AC" w:rsidRDefault="003718C8">
            <w:pPr>
              <w:widowControl w:val="0"/>
              <w:spacing w:before="280" w:after="280" w:line="240" w:lineRule="auto"/>
              <w:rPr>
                <w:rFonts w:ascii="Open Sans" w:eastAsia="Open Sans" w:hAnsi="Open Sans" w:cs="Open Sans"/>
                <w:b/>
                <w:color w:val="004888"/>
                <w:sz w:val="54"/>
                <w:szCs w:val="54"/>
              </w:rPr>
            </w:pPr>
            <w:r>
              <w:rPr>
                <w:rFonts w:ascii="Open Sans" w:eastAsia="Open Sans" w:hAnsi="Open Sans" w:cs="Open Sans"/>
                <w:b/>
                <w:noProof/>
                <w:color w:val="004888"/>
                <w:sz w:val="54"/>
                <w:szCs w:val="54"/>
              </w:rPr>
              <w:lastRenderedPageBreak/>
              <w:drawing>
                <wp:inline distT="114300" distB="114300" distL="114300" distR="114300" wp14:anchorId="3B0EF25D" wp14:editId="4774A3BD">
                  <wp:extent cx="404813" cy="341367"/>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404813" cy="341367"/>
                          </a:xfrm>
                          <a:prstGeom prst="rect">
                            <a:avLst/>
                          </a:prstGeom>
                          <a:ln/>
                        </pic:spPr>
                      </pic:pic>
                    </a:graphicData>
                  </a:graphic>
                </wp:inline>
              </w:drawing>
            </w:r>
            <w:r>
              <w:rPr>
                <w:rFonts w:ascii="Open Sans" w:eastAsia="Open Sans" w:hAnsi="Open Sans" w:cs="Open Sans"/>
                <w:b/>
                <w:color w:val="004888"/>
                <w:sz w:val="54"/>
                <w:szCs w:val="54"/>
              </w:rPr>
              <w:t xml:space="preserve"> Our values</w:t>
            </w:r>
          </w:p>
          <w:p w14:paraId="458C6298" w14:textId="77777777" w:rsidR="00A840AC" w:rsidRDefault="003718C8">
            <w:pPr>
              <w:widowControl w:val="0"/>
              <w:spacing w:before="280" w:after="280"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 xml:space="preserve">We’re inventive. </w:t>
            </w:r>
            <w:r>
              <w:rPr>
                <w:rFonts w:ascii="Open Sans" w:eastAsia="Open Sans" w:hAnsi="Open Sans" w:cs="Open Sans"/>
                <w:color w:val="004888"/>
                <w:sz w:val="24"/>
                <w:szCs w:val="24"/>
              </w:rPr>
              <w:t>We’re not afraid of trying new things and learn by getting things wrong. We question every idea to make it better and we change when things aren’t working.</w:t>
            </w:r>
          </w:p>
          <w:p w14:paraId="35AF2C5F" w14:textId="77777777" w:rsidR="00A840AC" w:rsidRDefault="003718C8">
            <w:pPr>
              <w:widowControl w:val="0"/>
              <w:spacing w:before="280" w:after="280"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 xml:space="preserve">We’re generous. </w:t>
            </w:r>
            <w:r>
              <w:rPr>
                <w:rFonts w:ascii="Open Sans" w:eastAsia="Open Sans" w:hAnsi="Open Sans" w:cs="Open Sans"/>
                <w:color w:val="004888"/>
                <w:sz w:val="24"/>
                <w:szCs w:val="24"/>
              </w:rPr>
              <w:t>We work together, sharing knowledge and experience to solve problems. We tell it like it is and respect everyone</w:t>
            </w:r>
            <w:r>
              <w:rPr>
                <w:rFonts w:ascii="Open Sans" w:eastAsia="Open Sans" w:hAnsi="Open Sans" w:cs="Open Sans"/>
                <w:b/>
                <w:color w:val="004888"/>
                <w:sz w:val="24"/>
                <w:szCs w:val="24"/>
              </w:rPr>
              <w:t>.</w:t>
            </w:r>
          </w:p>
          <w:p w14:paraId="1C461979" w14:textId="77777777" w:rsidR="00A840AC" w:rsidRDefault="003718C8">
            <w:pPr>
              <w:widowControl w:val="0"/>
              <w:spacing w:after="280"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 xml:space="preserve">We’re responsible. </w:t>
            </w:r>
            <w:r>
              <w:rPr>
                <w:rFonts w:ascii="Open Sans" w:eastAsia="Open Sans" w:hAnsi="Open Sans" w:cs="Open Sans"/>
                <w:color w:val="004888"/>
                <w:sz w:val="24"/>
                <w:szCs w:val="24"/>
              </w:rPr>
              <w:t>We do what we say we’ll do and keep our promises. We remember that we work for a charity and use our resources effectively.</w:t>
            </w:r>
          </w:p>
        </w:tc>
      </w:tr>
      <w:tr w:rsidR="00A840AC" w14:paraId="1BCA2C0F" w14:textId="77777777">
        <w:tc>
          <w:tcPr>
            <w:tcW w:w="9029" w:type="dxa"/>
            <w:tcBorders>
              <w:top w:val="nil"/>
            </w:tcBorders>
            <w:shd w:val="clear" w:color="auto" w:fill="auto"/>
            <w:tcMar>
              <w:top w:w="100" w:type="dxa"/>
              <w:left w:w="100" w:type="dxa"/>
              <w:bottom w:w="100" w:type="dxa"/>
              <w:right w:w="100" w:type="dxa"/>
            </w:tcMar>
          </w:tcPr>
          <w:p w14:paraId="23ACB327" w14:textId="77777777" w:rsidR="00A840AC" w:rsidRDefault="00A840AC">
            <w:pPr>
              <w:widowControl w:val="0"/>
              <w:spacing w:line="240" w:lineRule="auto"/>
              <w:rPr>
                <w:rFonts w:ascii="Open Sans" w:eastAsia="Open Sans" w:hAnsi="Open Sans" w:cs="Open Sans"/>
                <w:b/>
                <w:color w:val="004888"/>
                <w:sz w:val="54"/>
                <w:szCs w:val="54"/>
              </w:rPr>
            </w:pPr>
          </w:p>
          <w:tbl>
            <w:tblPr>
              <w:tblStyle w:val="a0"/>
              <w:tblW w:w="8790" w:type="dxa"/>
              <w:tblLayout w:type="fixed"/>
              <w:tblLook w:val="0600" w:firstRow="0" w:lastRow="0" w:firstColumn="0" w:lastColumn="0" w:noHBand="1" w:noVBand="1"/>
            </w:tblPr>
            <w:tblGrid>
              <w:gridCol w:w="915"/>
              <w:gridCol w:w="7875"/>
            </w:tblGrid>
            <w:tr w:rsidR="00A840AC" w14:paraId="30D3DE70" w14:textId="77777777">
              <w:tc>
                <w:tcPr>
                  <w:tcW w:w="915" w:type="dxa"/>
                  <w:shd w:val="clear" w:color="auto" w:fill="auto"/>
                  <w:tcMar>
                    <w:top w:w="100" w:type="dxa"/>
                    <w:left w:w="100" w:type="dxa"/>
                    <w:bottom w:w="100" w:type="dxa"/>
                    <w:right w:w="100" w:type="dxa"/>
                  </w:tcMar>
                </w:tcPr>
                <w:p w14:paraId="3361AA9F" w14:textId="77777777" w:rsidR="00A840AC" w:rsidRDefault="003718C8">
                  <w:pPr>
                    <w:widowControl w:val="0"/>
                    <w:spacing w:line="240" w:lineRule="auto"/>
                    <w:rPr>
                      <w:rFonts w:ascii="Open Sans" w:eastAsia="Open Sans" w:hAnsi="Open Sans" w:cs="Open Sans"/>
                      <w:b/>
                      <w:color w:val="004888"/>
                      <w:sz w:val="54"/>
                      <w:szCs w:val="54"/>
                    </w:rPr>
                  </w:pPr>
                  <w:r>
                    <w:rPr>
                      <w:rFonts w:ascii="Open Sans" w:eastAsia="Open Sans" w:hAnsi="Open Sans" w:cs="Open Sans"/>
                      <w:b/>
                      <w:noProof/>
                      <w:color w:val="004888"/>
                      <w:sz w:val="54"/>
                      <w:szCs w:val="54"/>
                    </w:rPr>
                    <w:drawing>
                      <wp:inline distT="114300" distB="114300" distL="114300" distR="114300" wp14:anchorId="60BA6E36" wp14:editId="6B2304AD">
                        <wp:extent cx="423863" cy="405826"/>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423863" cy="405826"/>
                                </a:xfrm>
                                <a:prstGeom prst="rect">
                                  <a:avLst/>
                                </a:prstGeom>
                                <a:ln/>
                              </pic:spPr>
                            </pic:pic>
                          </a:graphicData>
                        </a:graphic>
                      </wp:inline>
                    </w:drawing>
                  </w:r>
                </w:p>
              </w:tc>
              <w:tc>
                <w:tcPr>
                  <w:tcW w:w="7875" w:type="dxa"/>
                  <w:shd w:val="clear" w:color="auto" w:fill="auto"/>
                  <w:tcMar>
                    <w:top w:w="100" w:type="dxa"/>
                    <w:left w:w="100" w:type="dxa"/>
                    <w:bottom w:w="100" w:type="dxa"/>
                    <w:right w:w="100" w:type="dxa"/>
                  </w:tcMar>
                </w:tcPr>
                <w:p w14:paraId="44DB6C3B" w14:textId="77777777" w:rsidR="00A840AC" w:rsidRDefault="003718C8">
                  <w:pPr>
                    <w:widowControl w:val="0"/>
                    <w:spacing w:line="240" w:lineRule="auto"/>
                    <w:rPr>
                      <w:rFonts w:ascii="Open Sans" w:eastAsia="Open Sans" w:hAnsi="Open Sans" w:cs="Open Sans"/>
                      <w:b/>
                      <w:color w:val="004888"/>
                      <w:sz w:val="54"/>
                      <w:szCs w:val="54"/>
                    </w:rPr>
                  </w:pPr>
                  <w:r>
                    <w:rPr>
                      <w:rFonts w:ascii="Open Sans" w:eastAsia="Open Sans" w:hAnsi="Open Sans" w:cs="Open Sans"/>
                      <w:b/>
                      <w:color w:val="004888"/>
                      <w:sz w:val="54"/>
                      <w:szCs w:val="54"/>
                    </w:rPr>
                    <w:t>3 things you should know about Citizens Advice</w:t>
                  </w:r>
                </w:p>
              </w:tc>
            </w:tr>
          </w:tbl>
          <w:p w14:paraId="4B0941B5" w14:textId="77777777" w:rsidR="00A840AC" w:rsidRDefault="00A840AC">
            <w:pPr>
              <w:widowControl w:val="0"/>
              <w:spacing w:line="240" w:lineRule="auto"/>
              <w:rPr>
                <w:rFonts w:ascii="Open Sans" w:eastAsia="Open Sans" w:hAnsi="Open Sans" w:cs="Open Sans"/>
                <w:b/>
                <w:color w:val="004888"/>
                <w:sz w:val="24"/>
                <w:szCs w:val="24"/>
              </w:rPr>
            </w:pPr>
          </w:p>
          <w:p w14:paraId="3D2AA07C" w14:textId="77777777" w:rsidR="00A840AC" w:rsidRDefault="003718C8">
            <w:pPr>
              <w:widowControl w:val="0"/>
              <w:spacing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1. We’re local and we’re national</w:t>
            </w:r>
            <w:r>
              <w:rPr>
                <w:rFonts w:ascii="Open Sans" w:eastAsia="Open Sans" w:hAnsi="Open Sans" w:cs="Open Sans"/>
                <w:color w:val="004888"/>
                <w:sz w:val="24"/>
                <w:szCs w:val="24"/>
              </w:rPr>
              <w:t>. We have 6 national offices and offer direct support to people in over 290 independent local Citizens Advice services across England and Wales.</w:t>
            </w:r>
          </w:p>
          <w:p w14:paraId="275B85D2" w14:textId="77777777" w:rsidR="00A840AC" w:rsidRDefault="00A840AC">
            <w:pPr>
              <w:widowControl w:val="0"/>
              <w:spacing w:line="240" w:lineRule="auto"/>
              <w:rPr>
                <w:rFonts w:ascii="Open Sans" w:eastAsia="Open Sans" w:hAnsi="Open Sans" w:cs="Open Sans"/>
                <w:color w:val="004888"/>
                <w:sz w:val="24"/>
                <w:szCs w:val="24"/>
              </w:rPr>
            </w:pPr>
          </w:p>
          <w:p w14:paraId="7D299BC8" w14:textId="77777777" w:rsidR="00A840AC" w:rsidRDefault="003718C8">
            <w:pPr>
              <w:widowControl w:val="0"/>
              <w:spacing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 xml:space="preserve">2. We’re here for everyone. </w:t>
            </w:r>
            <w:r>
              <w:rPr>
                <w:rFonts w:ascii="Open Sans" w:eastAsia="Open Sans" w:hAnsi="Open Sans" w:cs="Open Sans"/>
                <w:color w:val="004888"/>
                <w:sz w:val="24"/>
                <w:szCs w:val="24"/>
              </w:rPr>
              <w:t>Our advice helps people solve problems and our advocacy helps fix problems in society. Whatever the problem, we won’t turn people away.</w:t>
            </w:r>
          </w:p>
          <w:p w14:paraId="404A4756" w14:textId="77777777" w:rsidR="00A840AC" w:rsidRDefault="003718C8">
            <w:pPr>
              <w:widowControl w:val="0"/>
              <w:spacing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 xml:space="preserve"> </w:t>
            </w:r>
          </w:p>
          <w:p w14:paraId="7C9F757F" w14:textId="77777777" w:rsidR="00A840AC" w:rsidRDefault="003718C8">
            <w:pPr>
              <w:widowControl w:val="0"/>
              <w:spacing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 xml:space="preserve">3. We’re listened to - and we make a difference. </w:t>
            </w:r>
            <w:r>
              <w:rPr>
                <w:rFonts w:ascii="Open Sans" w:eastAsia="Open Sans" w:hAnsi="Open Sans" w:cs="Open Sans"/>
                <w:color w:val="004888"/>
                <w:sz w:val="24"/>
                <w:szCs w:val="24"/>
              </w:rPr>
              <w:t>Our trusted brand and the quality of our research mean we make a real impact on behalf of the people who rely on us.</w:t>
            </w:r>
          </w:p>
          <w:p w14:paraId="0C6B7F61" w14:textId="77777777" w:rsidR="00A840AC" w:rsidRDefault="00A840AC">
            <w:pPr>
              <w:widowControl w:val="0"/>
              <w:spacing w:line="240" w:lineRule="auto"/>
              <w:rPr>
                <w:rFonts w:ascii="Open Sans" w:eastAsia="Open Sans" w:hAnsi="Open Sans" w:cs="Open Sans"/>
                <w:color w:val="004888"/>
                <w:sz w:val="24"/>
                <w:szCs w:val="24"/>
              </w:rPr>
            </w:pPr>
          </w:p>
          <w:p w14:paraId="130251A1" w14:textId="77777777" w:rsidR="00A840AC" w:rsidRDefault="00A840AC">
            <w:pPr>
              <w:widowControl w:val="0"/>
              <w:spacing w:line="240" w:lineRule="auto"/>
              <w:rPr>
                <w:rFonts w:ascii="Open Sans" w:eastAsia="Open Sans" w:hAnsi="Open Sans" w:cs="Open Sans"/>
                <w:color w:val="004888"/>
                <w:sz w:val="24"/>
                <w:szCs w:val="24"/>
              </w:rPr>
            </w:pPr>
          </w:p>
          <w:p w14:paraId="5B025977" w14:textId="77777777" w:rsidR="00A840AC" w:rsidRDefault="00A840AC">
            <w:pPr>
              <w:widowControl w:val="0"/>
              <w:spacing w:line="240" w:lineRule="auto"/>
              <w:rPr>
                <w:rFonts w:ascii="Open Sans" w:eastAsia="Open Sans" w:hAnsi="Open Sans" w:cs="Open Sans"/>
                <w:color w:val="004888"/>
                <w:sz w:val="24"/>
                <w:szCs w:val="24"/>
              </w:rPr>
            </w:pPr>
          </w:p>
          <w:p w14:paraId="042F0B1E" w14:textId="77777777" w:rsidR="00A840AC" w:rsidRDefault="00A840AC">
            <w:pPr>
              <w:widowControl w:val="0"/>
              <w:spacing w:line="240" w:lineRule="auto"/>
              <w:rPr>
                <w:rFonts w:ascii="Open Sans" w:eastAsia="Open Sans" w:hAnsi="Open Sans" w:cs="Open Sans"/>
                <w:color w:val="004888"/>
                <w:sz w:val="24"/>
                <w:szCs w:val="24"/>
              </w:rPr>
            </w:pPr>
          </w:p>
        </w:tc>
      </w:tr>
    </w:tbl>
    <w:p w14:paraId="3608EABB" w14:textId="77777777" w:rsidR="00A840AC" w:rsidRDefault="00A840AC"/>
    <w:p w14:paraId="0F21D304" w14:textId="77777777" w:rsidR="00A840AC" w:rsidRDefault="00A840AC"/>
    <w:p w14:paraId="1FA8F415" w14:textId="77777777" w:rsidR="00A840AC" w:rsidRDefault="003718C8">
      <w:pPr>
        <w:rPr>
          <w:rFonts w:ascii="Open Sans" w:eastAsia="Open Sans" w:hAnsi="Open Sans" w:cs="Open Sans"/>
          <w:b/>
          <w:color w:val="004888"/>
          <w:sz w:val="48"/>
          <w:szCs w:val="48"/>
        </w:rPr>
      </w:pPr>
      <w:r>
        <w:rPr>
          <w:rFonts w:ascii="Open Sans" w:eastAsia="Open Sans" w:hAnsi="Open Sans" w:cs="Open Sans"/>
          <w:b/>
          <w:color w:val="004888"/>
          <w:sz w:val="48"/>
          <w:szCs w:val="48"/>
        </w:rPr>
        <w:t>How</w:t>
      </w:r>
      <w:r w:rsidR="00DD38AC">
        <w:rPr>
          <w:rFonts w:ascii="Open Sans" w:eastAsia="Open Sans" w:hAnsi="Open Sans" w:cs="Open Sans"/>
          <w:b/>
          <w:color w:val="004888"/>
          <w:sz w:val="48"/>
          <w:szCs w:val="48"/>
        </w:rPr>
        <w:t xml:space="preserve"> North Tyneside Citizens</w:t>
      </w:r>
      <w:r>
        <w:rPr>
          <w:rFonts w:ascii="Open Sans" w:eastAsia="Open Sans" w:hAnsi="Open Sans" w:cs="Open Sans"/>
          <w:b/>
          <w:color w:val="004888"/>
          <w:sz w:val="48"/>
          <w:szCs w:val="48"/>
        </w:rPr>
        <w:t xml:space="preserve"> Advice works</w:t>
      </w:r>
    </w:p>
    <w:p w14:paraId="2FA882E0" w14:textId="307E5699" w:rsidR="00BB5442" w:rsidRDefault="00BB5442">
      <w:pPr>
        <w:rPr>
          <w:rFonts w:ascii="Open Sans" w:eastAsia="Open Sans" w:hAnsi="Open Sans" w:cs="Open Sans"/>
          <w:color w:val="004888"/>
          <w:sz w:val="32"/>
          <w:szCs w:val="32"/>
        </w:rPr>
      </w:pPr>
      <w:r w:rsidRPr="00BB5442">
        <w:rPr>
          <w:rFonts w:ascii="Open Sans" w:eastAsia="Open Sans" w:hAnsi="Open Sans" w:cs="Open Sans"/>
          <w:color w:val="004888"/>
          <w:sz w:val="32"/>
          <w:szCs w:val="32"/>
        </w:rPr>
        <w:t>North Tyneside</w:t>
      </w:r>
      <w:r w:rsidR="00C017A8">
        <w:rPr>
          <w:rFonts w:ascii="Open Sans" w:eastAsia="Open Sans" w:hAnsi="Open Sans" w:cs="Open Sans"/>
          <w:color w:val="004888"/>
          <w:sz w:val="32"/>
          <w:szCs w:val="32"/>
        </w:rPr>
        <w:t xml:space="preserve"> is part of the national citizens advice network. We have</w:t>
      </w:r>
      <w:r w:rsidRPr="00BB5442">
        <w:rPr>
          <w:rFonts w:ascii="Open Sans" w:eastAsia="Open Sans" w:hAnsi="Open Sans" w:cs="Open Sans"/>
          <w:color w:val="004888"/>
          <w:sz w:val="32"/>
          <w:szCs w:val="32"/>
        </w:rPr>
        <w:t xml:space="preserve"> two main sites – North Shields and Wallsend</w:t>
      </w:r>
      <w:r>
        <w:rPr>
          <w:rFonts w:ascii="Open Sans" w:eastAsia="Open Sans" w:hAnsi="Open Sans" w:cs="Open Sans"/>
          <w:color w:val="004888"/>
          <w:sz w:val="32"/>
          <w:szCs w:val="32"/>
        </w:rPr>
        <w:t xml:space="preserve"> – both are easily accessible by transport and road links</w:t>
      </w:r>
      <w:r w:rsidR="00C017A8">
        <w:rPr>
          <w:rFonts w:ascii="Open Sans" w:eastAsia="Open Sans" w:hAnsi="Open Sans" w:cs="Open Sans"/>
          <w:color w:val="004888"/>
          <w:sz w:val="32"/>
          <w:szCs w:val="32"/>
        </w:rPr>
        <w:t xml:space="preserve"> as well </w:t>
      </w:r>
      <w:r w:rsidR="004C0BF5">
        <w:rPr>
          <w:rFonts w:ascii="Open Sans" w:eastAsia="Open Sans" w:hAnsi="Open Sans" w:cs="Open Sans"/>
          <w:color w:val="004888"/>
          <w:sz w:val="32"/>
          <w:szCs w:val="32"/>
        </w:rPr>
        <w:t>as several</w:t>
      </w:r>
      <w:r>
        <w:rPr>
          <w:rFonts w:ascii="Open Sans" w:eastAsia="Open Sans" w:hAnsi="Open Sans" w:cs="Open Sans"/>
          <w:color w:val="004888"/>
          <w:sz w:val="32"/>
          <w:szCs w:val="32"/>
        </w:rPr>
        <w:t xml:space="preserve"> </w:t>
      </w:r>
      <w:r w:rsidR="00A97D43">
        <w:rPr>
          <w:rFonts w:ascii="Open Sans" w:eastAsia="Open Sans" w:hAnsi="Open Sans" w:cs="Open Sans"/>
          <w:color w:val="004888"/>
          <w:sz w:val="32"/>
          <w:szCs w:val="32"/>
        </w:rPr>
        <w:t>outreaches around the district.</w:t>
      </w:r>
    </w:p>
    <w:p w14:paraId="6EB19C85" w14:textId="77777777" w:rsidR="00A97D43" w:rsidRDefault="00A97D43">
      <w:pPr>
        <w:rPr>
          <w:rFonts w:ascii="Open Sans" w:eastAsia="Open Sans" w:hAnsi="Open Sans" w:cs="Open Sans"/>
          <w:color w:val="004888"/>
          <w:sz w:val="32"/>
          <w:szCs w:val="32"/>
        </w:rPr>
      </w:pPr>
    </w:p>
    <w:p w14:paraId="2ECE8FA8" w14:textId="77777777" w:rsidR="00A97D43" w:rsidRDefault="00A97D43">
      <w:pPr>
        <w:rPr>
          <w:rFonts w:ascii="Open Sans" w:eastAsia="Open Sans" w:hAnsi="Open Sans" w:cs="Open Sans"/>
          <w:color w:val="004888"/>
          <w:sz w:val="32"/>
          <w:szCs w:val="32"/>
        </w:rPr>
      </w:pPr>
      <w:r>
        <w:rPr>
          <w:rFonts w:ascii="Open Sans" w:eastAsia="Open Sans" w:hAnsi="Open Sans" w:cs="Open Sans"/>
          <w:color w:val="004888"/>
          <w:sz w:val="32"/>
          <w:szCs w:val="32"/>
        </w:rPr>
        <w:t xml:space="preserve">These sites offer face to face </w:t>
      </w:r>
      <w:r w:rsidR="00C017A8">
        <w:rPr>
          <w:rFonts w:ascii="Open Sans" w:eastAsia="Open Sans" w:hAnsi="Open Sans" w:cs="Open Sans"/>
          <w:color w:val="004888"/>
          <w:sz w:val="32"/>
          <w:szCs w:val="32"/>
        </w:rPr>
        <w:t xml:space="preserve">generalist </w:t>
      </w:r>
      <w:r>
        <w:rPr>
          <w:rFonts w:ascii="Open Sans" w:eastAsia="Open Sans" w:hAnsi="Open Sans" w:cs="Open Sans"/>
          <w:color w:val="004888"/>
          <w:sz w:val="32"/>
          <w:szCs w:val="32"/>
        </w:rPr>
        <w:t>advice as well as a telephone advice service.</w:t>
      </w:r>
    </w:p>
    <w:p w14:paraId="4569E4E4" w14:textId="77777777" w:rsidR="00A97D43" w:rsidRDefault="00A97D43">
      <w:pPr>
        <w:rPr>
          <w:rFonts w:ascii="Open Sans" w:eastAsia="Open Sans" w:hAnsi="Open Sans" w:cs="Open Sans"/>
          <w:color w:val="004888"/>
          <w:sz w:val="32"/>
          <w:szCs w:val="32"/>
        </w:rPr>
      </w:pPr>
    </w:p>
    <w:p w14:paraId="0A7ED5E6" w14:textId="77777777" w:rsidR="00C017A8" w:rsidRDefault="00A97D43">
      <w:pPr>
        <w:rPr>
          <w:rFonts w:ascii="Open Sans" w:eastAsia="Open Sans" w:hAnsi="Open Sans" w:cs="Open Sans"/>
          <w:color w:val="004888"/>
          <w:sz w:val="32"/>
          <w:szCs w:val="32"/>
        </w:rPr>
      </w:pPr>
      <w:r>
        <w:rPr>
          <w:rFonts w:ascii="Open Sans" w:eastAsia="Open Sans" w:hAnsi="Open Sans" w:cs="Open Sans"/>
          <w:color w:val="004888"/>
          <w:sz w:val="32"/>
          <w:szCs w:val="32"/>
        </w:rPr>
        <w:t xml:space="preserve">North Tyneside </w:t>
      </w:r>
      <w:r w:rsidR="00C017A8">
        <w:rPr>
          <w:rFonts w:ascii="Open Sans" w:eastAsia="Open Sans" w:hAnsi="Open Sans" w:cs="Open Sans"/>
          <w:color w:val="004888"/>
          <w:sz w:val="32"/>
          <w:szCs w:val="32"/>
        </w:rPr>
        <w:t xml:space="preserve">also delivers specialist services in relation to </w:t>
      </w:r>
      <w:r>
        <w:rPr>
          <w:rFonts w:ascii="Open Sans" w:eastAsia="Open Sans" w:hAnsi="Open Sans" w:cs="Open Sans"/>
          <w:color w:val="004888"/>
          <w:sz w:val="32"/>
          <w:szCs w:val="32"/>
        </w:rPr>
        <w:t>money</w:t>
      </w:r>
      <w:r w:rsidR="00C017A8">
        <w:rPr>
          <w:rFonts w:ascii="Open Sans" w:eastAsia="Open Sans" w:hAnsi="Open Sans" w:cs="Open Sans"/>
          <w:color w:val="004888"/>
          <w:sz w:val="32"/>
          <w:szCs w:val="32"/>
        </w:rPr>
        <w:t xml:space="preserve"> and benefit </w:t>
      </w:r>
      <w:r>
        <w:rPr>
          <w:rFonts w:ascii="Open Sans" w:eastAsia="Open Sans" w:hAnsi="Open Sans" w:cs="Open Sans"/>
          <w:color w:val="004888"/>
          <w:sz w:val="32"/>
          <w:szCs w:val="32"/>
        </w:rPr>
        <w:t>advice</w:t>
      </w:r>
      <w:r w:rsidR="00C017A8">
        <w:rPr>
          <w:rFonts w:ascii="Open Sans" w:eastAsia="Open Sans" w:hAnsi="Open Sans" w:cs="Open Sans"/>
          <w:color w:val="004888"/>
          <w:sz w:val="32"/>
          <w:szCs w:val="32"/>
        </w:rPr>
        <w:t>. We hold</w:t>
      </w:r>
      <w:r>
        <w:rPr>
          <w:rFonts w:ascii="Open Sans" w:eastAsia="Open Sans" w:hAnsi="Open Sans" w:cs="Open Sans"/>
          <w:color w:val="004888"/>
          <w:sz w:val="32"/>
          <w:szCs w:val="32"/>
        </w:rPr>
        <w:t xml:space="preserve"> a regional contract Pension</w:t>
      </w:r>
      <w:r w:rsidR="00D348A0">
        <w:rPr>
          <w:rFonts w:ascii="Open Sans" w:eastAsia="Open Sans" w:hAnsi="Open Sans" w:cs="Open Sans"/>
          <w:color w:val="004888"/>
          <w:sz w:val="32"/>
          <w:szCs w:val="32"/>
        </w:rPr>
        <w:t>s</w:t>
      </w:r>
      <w:r>
        <w:rPr>
          <w:rFonts w:ascii="Open Sans" w:eastAsia="Open Sans" w:hAnsi="Open Sans" w:cs="Open Sans"/>
          <w:color w:val="004888"/>
          <w:sz w:val="32"/>
          <w:szCs w:val="32"/>
        </w:rPr>
        <w:t xml:space="preserve"> advice. </w:t>
      </w:r>
    </w:p>
    <w:p w14:paraId="3EE08E94" w14:textId="77777777" w:rsidR="00C017A8" w:rsidRDefault="00C017A8">
      <w:pPr>
        <w:rPr>
          <w:rFonts w:ascii="Open Sans" w:eastAsia="Open Sans" w:hAnsi="Open Sans" w:cs="Open Sans"/>
          <w:color w:val="004888"/>
          <w:sz w:val="32"/>
          <w:szCs w:val="32"/>
        </w:rPr>
      </w:pPr>
    </w:p>
    <w:p w14:paraId="47CA9C2E" w14:textId="229666C7" w:rsidR="00A97D43" w:rsidRPr="00BB5442" w:rsidRDefault="00A97D43">
      <w:pPr>
        <w:rPr>
          <w:rFonts w:ascii="Open Sans" w:eastAsia="Open Sans" w:hAnsi="Open Sans" w:cs="Open Sans"/>
          <w:color w:val="004888"/>
          <w:sz w:val="32"/>
          <w:szCs w:val="32"/>
        </w:rPr>
      </w:pPr>
      <w:r>
        <w:rPr>
          <w:rFonts w:ascii="Open Sans" w:eastAsia="Open Sans" w:hAnsi="Open Sans" w:cs="Open Sans"/>
          <w:color w:val="004888"/>
          <w:sz w:val="32"/>
          <w:szCs w:val="32"/>
        </w:rPr>
        <w:t xml:space="preserve">In </w:t>
      </w:r>
      <w:r w:rsidR="004C0BF5">
        <w:rPr>
          <w:rFonts w:ascii="Open Sans" w:eastAsia="Open Sans" w:hAnsi="Open Sans" w:cs="Open Sans"/>
          <w:color w:val="004888"/>
          <w:sz w:val="32"/>
          <w:szCs w:val="32"/>
        </w:rPr>
        <w:t>addition,</w:t>
      </w:r>
      <w:r>
        <w:rPr>
          <w:rFonts w:ascii="Open Sans" w:eastAsia="Open Sans" w:hAnsi="Open Sans" w:cs="Open Sans"/>
          <w:color w:val="004888"/>
          <w:sz w:val="32"/>
          <w:szCs w:val="32"/>
        </w:rPr>
        <w:t xml:space="preserve"> together with Manchester Citizens advice we deliver a Debt Management Service </w:t>
      </w:r>
    </w:p>
    <w:p w14:paraId="42D67770" w14:textId="77777777" w:rsidR="00A840AC" w:rsidRPr="00BB5442" w:rsidRDefault="00A840AC">
      <w:pPr>
        <w:rPr>
          <w:rFonts w:ascii="Open Sans" w:eastAsia="Open Sans" w:hAnsi="Open Sans" w:cs="Open Sans"/>
          <w:color w:val="004888"/>
          <w:sz w:val="32"/>
          <w:szCs w:val="32"/>
        </w:rPr>
      </w:pPr>
    </w:p>
    <w:p w14:paraId="38B0DEA7" w14:textId="77777777" w:rsidR="00A840AC" w:rsidRPr="00BB5442" w:rsidRDefault="00A840AC">
      <w:pPr>
        <w:rPr>
          <w:rFonts w:ascii="Open Sans" w:eastAsia="Open Sans" w:hAnsi="Open Sans" w:cs="Open Sans"/>
          <w:color w:val="004888"/>
          <w:sz w:val="32"/>
          <w:szCs w:val="32"/>
        </w:rPr>
      </w:pPr>
    </w:p>
    <w:p w14:paraId="745A73C6" w14:textId="77777777" w:rsidR="00A840AC" w:rsidRDefault="00A840AC">
      <w:pPr>
        <w:rPr>
          <w:rFonts w:ascii="Open Sans" w:eastAsia="Open Sans" w:hAnsi="Open Sans" w:cs="Open Sans"/>
          <w:b/>
          <w:color w:val="004888"/>
          <w:sz w:val="48"/>
          <w:szCs w:val="48"/>
        </w:rPr>
      </w:pPr>
    </w:p>
    <w:p w14:paraId="4D185B3B" w14:textId="77777777" w:rsidR="00A840AC" w:rsidRDefault="00A840AC">
      <w:pPr>
        <w:rPr>
          <w:rFonts w:ascii="Open Sans" w:eastAsia="Open Sans" w:hAnsi="Open Sans" w:cs="Open Sans"/>
          <w:b/>
          <w:color w:val="004888"/>
          <w:sz w:val="48"/>
          <w:szCs w:val="48"/>
        </w:rPr>
      </w:pPr>
    </w:p>
    <w:p w14:paraId="3A70BA47" w14:textId="77777777" w:rsidR="00A840AC" w:rsidRDefault="00A840AC">
      <w:pPr>
        <w:rPr>
          <w:rFonts w:ascii="Open Sans" w:eastAsia="Open Sans" w:hAnsi="Open Sans" w:cs="Open Sans"/>
          <w:b/>
          <w:color w:val="004888"/>
          <w:sz w:val="48"/>
          <w:szCs w:val="48"/>
        </w:rPr>
      </w:pPr>
    </w:p>
    <w:p w14:paraId="11A71973" w14:textId="77777777" w:rsidR="00A840AC" w:rsidRDefault="00A840AC">
      <w:pPr>
        <w:rPr>
          <w:rFonts w:ascii="Open Sans" w:eastAsia="Open Sans" w:hAnsi="Open Sans" w:cs="Open Sans"/>
          <w:b/>
          <w:color w:val="004888"/>
          <w:sz w:val="48"/>
          <w:szCs w:val="48"/>
        </w:rPr>
      </w:pPr>
    </w:p>
    <w:p w14:paraId="52881A95" w14:textId="77777777" w:rsidR="00A840AC" w:rsidRDefault="00A840AC">
      <w:pPr>
        <w:rPr>
          <w:rFonts w:ascii="Open Sans" w:eastAsia="Open Sans" w:hAnsi="Open Sans" w:cs="Open Sans"/>
          <w:b/>
          <w:color w:val="004888"/>
          <w:sz w:val="48"/>
          <w:szCs w:val="48"/>
        </w:rPr>
      </w:pPr>
    </w:p>
    <w:p w14:paraId="4A709CBF" w14:textId="77777777" w:rsidR="00A840AC" w:rsidRDefault="00A840AC">
      <w:pPr>
        <w:rPr>
          <w:rFonts w:ascii="Open Sans" w:eastAsia="Open Sans" w:hAnsi="Open Sans" w:cs="Open Sans"/>
          <w:b/>
          <w:color w:val="004888"/>
          <w:sz w:val="48"/>
          <w:szCs w:val="48"/>
        </w:rPr>
      </w:pPr>
    </w:p>
    <w:p w14:paraId="5D3A2453" w14:textId="77777777" w:rsidR="00A840AC" w:rsidRDefault="00A840AC">
      <w:pPr>
        <w:rPr>
          <w:rFonts w:ascii="Open Sans" w:eastAsia="Open Sans" w:hAnsi="Open Sans" w:cs="Open Sans"/>
          <w:b/>
          <w:color w:val="004888"/>
          <w:sz w:val="48"/>
          <w:szCs w:val="48"/>
        </w:rPr>
      </w:pPr>
    </w:p>
    <w:p w14:paraId="1A90754C" w14:textId="77777777" w:rsidR="00A840AC" w:rsidRDefault="00A840AC">
      <w:pPr>
        <w:widowControl w:val="0"/>
        <w:spacing w:line="240" w:lineRule="auto"/>
      </w:pPr>
    </w:p>
    <w:p w14:paraId="32F0A2BA" w14:textId="77777777" w:rsidR="00A840AC" w:rsidRDefault="003718C8">
      <w:pPr>
        <w:widowControl w:val="0"/>
        <w:spacing w:line="240" w:lineRule="auto"/>
        <w:rPr>
          <w:sz w:val="28"/>
          <w:szCs w:val="28"/>
        </w:rPr>
      </w:pPr>
      <w:r>
        <w:rPr>
          <w:rFonts w:ascii="Open Sans" w:eastAsia="Open Sans" w:hAnsi="Open Sans" w:cs="Open Sans"/>
          <w:noProof/>
          <w:color w:val="004888"/>
          <w:sz w:val="32"/>
          <w:szCs w:val="32"/>
        </w:rPr>
        <w:drawing>
          <wp:inline distT="19050" distB="19050" distL="19050" distR="19050" wp14:anchorId="397752BD" wp14:editId="31ADFA19">
            <wp:extent cx="390525" cy="390525"/>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390525" cy="390525"/>
                    </a:xfrm>
                    <a:prstGeom prst="rect">
                      <a:avLst/>
                    </a:prstGeom>
                    <a:ln/>
                  </pic:spPr>
                </pic:pic>
              </a:graphicData>
            </a:graphic>
          </wp:inline>
        </w:drawing>
      </w:r>
      <w:r>
        <w:rPr>
          <w:rFonts w:ascii="Open Sans" w:eastAsia="Open Sans" w:hAnsi="Open Sans" w:cs="Open Sans"/>
          <w:color w:val="004888"/>
          <w:sz w:val="32"/>
          <w:szCs w:val="32"/>
        </w:rPr>
        <w:t xml:space="preserve"> </w:t>
      </w:r>
      <w:r>
        <w:t xml:space="preserve"> </w:t>
      </w:r>
      <w:r>
        <w:rPr>
          <w:rFonts w:ascii="Open Sans" w:eastAsia="Open Sans" w:hAnsi="Open Sans" w:cs="Open Sans"/>
          <w:b/>
          <w:color w:val="004888"/>
          <w:sz w:val="54"/>
          <w:szCs w:val="54"/>
        </w:rPr>
        <w:t>How Citizens Advice works</w:t>
      </w:r>
    </w:p>
    <w:p w14:paraId="549F834C" w14:textId="77777777" w:rsidR="00A840AC" w:rsidRDefault="00A840AC"/>
    <w:tbl>
      <w:tblPr>
        <w:tblStyle w:val="a1"/>
        <w:tblW w:w="9540" w:type="dxa"/>
        <w:tblInd w:w="100" w:type="dxa"/>
        <w:tblLayout w:type="fixed"/>
        <w:tblLook w:val="0600" w:firstRow="0" w:lastRow="0" w:firstColumn="0" w:lastColumn="0" w:noHBand="1" w:noVBand="1"/>
      </w:tblPr>
      <w:tblGrid>
        <w:gridCol w:w="4455"/>
        <w:gridCol w:w="5085"/>
      </w:tblGrid>
      <w:tr w:rsidR="00A840AC" w14:paraId="4131F88F" w14:textId="77777777">
        <w:trPr>
          <w:trHeight w:val="9480"/>
        </w:trPr>
        <w:tc>
          <w:tcPr>
            <w:tcW w:w="4455" w:type="dxa"/>
            <w:tcBorders>
              <w:top w:val="nil"/>
              <w:left w:val="nil"/>
              <w:bottom w:val="nil"/>
              <w:right w:val="nil"/>
            </w:tcBorders>
            <w:shd w:val="clear" w:color="auto" w:fill="auto"/>
            <w:tcMar>
              <w:top w:w="100" w:type="dxa"/>
              <w:left w:w="100" w:type="dxa"/>
              <w:bottom w:w="100" w:type="dxa"/>
              <w:right w:w="100" w:type="dxa"/>
            </w:tcMar>
          </w:tcPr>
          <w:p w14:paraId="067CF0A0" w14:textId="77777777" w:rsidR="00A840AC" w:rsidRDefault="00A840AC">
            <w:pPr>
              <w:widowControl w:val="0"/>
              <w:spacing w:line="240" w:lineRule="auto"/>
              <w:rPr>
                <w:rFonts w:ascii="Open Sans" w:eastAsia="Open Sans" w:hAnsi="Open Sans" w:cs="Open Sans"/>
                <w:color w:val="004B88"/>
                <w:sz w:val="24"/>
                <w:szCs w:val="24"/>
              </w:rPr>
            </w:pPr>
          </w:p>
          <w:p w14:paraId="0227E0D4" w14:textId="77777777" w:rsidR="00A840AC" w:rsidRDefault="003718C8">
            <w:pPr>
              <w:widowControl w:val="0"/>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The Citizens Advice service is made up of Citizens Advice - the national charity - and a network of around 300 local Citizens Advice members.</w:t>
            </w:r>
            <w:r>
              <w:rPr>
                <w:rFonts w:ascii="Open Sans" w:eastAsia="Open Sans" w:hAnsi="Open Sans" w:cs="Open Sans"/>
                <w:color w:val="004B88"/>
                <w:sz w:val="24"/>
                <w:szCs w:val="24"/>
              </w:rPr>
              <w:br/>
            </w:r>
            <w:r>
              <w:rPr>
                <w:rFonts w:ascii="Open Sans" w:eastAsia="Open Sans" w:hAnsi="Open Sans" w:cs="Open Sans"/>
                <w:color w:val="004B88"/>
                <w:sz w:val="24"/>
                <w:szCs w:val="24"/>
              </w:rPr>
              <w:br/>
              <w:t>This role sits in the national charity which includes</w:t>
            </w:r>
          </w:p>
          <w:p w14:paraId="4EE8C90E" w14:textId="77777777" w:rsidR="00A840AC" w:rsidRDefault="00A840AC">
            <w:pPr>
              <w:widowControl w:val="0"/>
              <w:spacing w:line="240" w:lineRule="auto"/>
              <w:rPr>
                <w:rFonts w:ascii="Open Sans" w:eastAsia="Open Sans" w:hAnsi="Open Sans" w:cs="Open Sans"/>
                <w:color w:val="004B88"/>
                <w:sz w:val="24"/>
                <w:szCs w:val="24"/>
              </w:rPr>
            </w:pPr>
          </w:p>
          <w:p w14:paraId="53760616" w14:textId="77777777" w:rsidR="00A840AC" w:rsidRDefault="003718C8">
            <w:pPr>
              <w:widowControl w:val="0"/>
              <w:numPr>
                <w:ilvl w:val="0"/>
                <w:numId w:val="4"/>
              </w:numPr>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800 national staff working in one of our 6 offices or as homeworkers, or as part of the Witness Service from over 240 courts across England and Wales</w:t>
            </w:r>
          </w:p>
          <w:p w14:paraId="71D46F54" w14:textId="77777777" w:rsidR="00A840AC" w:rsidRDefault="003718C8">
            <w:pPr>
              <w:widowControl w:val="0"/>
              <w:numPr>
                <w:ilvl w:val="0"/>
                <w:numId w:val="4"/>
              </w:numPr>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3000 Witness Service volunteers</w:t>
            </w:r>
            <w:r>
              <w:rPr>
                <w:rFonts w:ascii="Open Sans" w:eastAsia="Open Sans" w:hAnsi="Open Sans" w:cs="Open Sans"/>
                <w:color w:val="004B88"/>
                <w:sz w:val="24"/>
                <w:szCs w:val="24"/>
              </w:rPr>
              <w:br/>
            </w:r>
          </w:p>
          <w:p w14:paraId="7DBFD496" w14:textId="77777777" w:rsidR="00A840AC" w:rsidRDefault="003718C8">
            <w:pPr>
              <w:widowControl w:val="0"/>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Our network members are all independent charities, delivering services from</w:t>
            </w:r>
          </w:p>
          <w:p w14:paraId="434B6E0F" w14:textId="77777777" w:rsidR="00A840AC" w:rsidRDefault="00A840AC">
            <w:pPr>
              <w:widowControl w:val="0"/>
              <w:spacing w:line="240" w:lineRule="auto"/>
              <w:rPr>
                <w:rFonts w:ascii="Open Sans" w:eastAsia="Open Sans" w:hAnsi="Open Sans" w:cs="Open Sans"/>
                <w:color w:val="004B88"/>
                <w:sz w:val="24"/>
                <w:szCs w:val="24"/>
              </w:rPr>
            </w:pPr>
          </w:p>
          <w:p w14:paraId="3FCA211F" w14:textId="77777777" w:rsidR="00A840AC" w:rsidRDefault="003718C8">
            <w:pPr>
              <w:widowControl w:val="0"/>
              <w:numPr>
                <w:ilvl w:val="0"/>
                <w:numId w:val="7"/>
              </w:numPr>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over 600 local Citizens Advice outlets</w:t>
            </w:r>
          </w:p>
          <w:p w14:paraId="48657CC6" w14:textId="77777777" w:rsidR="00A840AC" w:rsidRDefault="003718C8">
            <w:pPr>
              <w:widowControl w:val="0"/>
              <w:numPr>
                <w:ilvl w:val="0"/>
                <w:numId w:val="7"/>
              </w:numPr>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over 1,800 community centres, GPs’ surgeries and prisons</w:t>
            </w:r>
            <w:r>
              <w:rPr>
                <w:rFonts w:ascii="Open Sans" w:eastAsia="Open Sans" w:hAnsi="Open Sans" w:cs="Open Sans"/>
                <w:color w:val="004B88"/>
                <w:sz w:val="24"/>
                <w:szCs w:val="24"/>
              </w:rPr>
              <w:br/>
            </w:r>
          </w:p>
          <w:p w14:paraId="7870A1F3" w14:textId="77777777" w:rsidR="00A840AC" w:rsidRDefault="003718C8">
            <w:pPr>
              <w:widowControl w:val="0"/>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They do this with:  </w:t>
            </w:r>
          </w:p>
          <w:p w14:paraId="1401E84F" w14:textId="77777777" w:rsidR="00A840AC" w:rsidRDefault="00A840AC">
            <w:pPr>
              <w:widowControl w:val="0"/>
              <w:spacing w:line="240" w:lineRule="auto"/>
              <w:rPr>
                <w:rFonts w:ascii="Open Sans" w:eastAsia="Open Sans" w:hAnsi="Open Sans" w:cs="Open Sans"/>
                <w:color w:val="004B88"/>
                <w:sz w:val="24"/>
                <w:szCs w:val="24"/>
              </w:rPr>
            </w:pPr>
          </w:p>
          <w:p w14:paraId="2839CA16" w14:textId="77777777" w:rsidR="00A840AC" w:rsidRDefault="003718C8">
            <w:pPr>
              <w:widowControl w:val="0"/>
              <w:numPr>
                <w:ilvl w:val="0"/>
                <w:numId w:val="6"/>
              </w:numPr>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6,500 local staff</w:t>
            </w:r>
          </w:p>
          <w:p w14:paraId="4C0A67FC" w14:textId="77777777" w:rsidR="00A840AC" w:rsidRDefault="003718C8">
            <w:pPr>
              <w:widowControl w:val="0"/>
              <w:numPr>
                <w:ilvl w:val="0"/>
                <w:numId w:val="6"/>
              </w:numPr>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over 23,000 trained volunteers</w:t>
            </w:r>
          </w:p>
          <w:p w14:paraId="46441F04" w14:textId="77777777" w:rsidR="00A840AC" w:rsidRDefault="00A840AC">
            <w:pPr>
              <w:widowControl w:val="0"/>
              <w:spacing w:line="240" w:lineRule="auto"/>
              <w:rPr>
                <w:rFonts w:ascii="Open Sans" w:eastAsia="Open Sans" w:hAnsi="Open Sans" w:cs="Open Sans"/>
                <w:color w:val="004B88"/>
                <w:sz w:val="24"/>
                <w:szCs w:val="24"/>
              </w:rPr>
            </w:pPr>
          </w:p>
          <w:p w14:paraId="3E66A895" w14:textId="77777777" w:rsidR="00A840AC" w:rsidRDefault="003718C8">
            <w:pPr>
              <w:widowControl w:val="0"/>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Our reach means 99% of people in England and Wales can access a local Citizens Advice within a 30 minute drive of where they live.</w:t>
            </w:r>
          </w:p>
        </w:tc>
        <w:tc>
          <w:tcPr>
            <w:tcW w:w="5085" w:type="dxa"/>
            <w:tcBorders>
              <w:top w:val="nil"/>
              <w:left w:val="nil"/>
              <w:bottom w:val="nil"/>
              <w:right w:val="nil"/>
            </w:tcBorders>
            <w:shd w:val="clear" w:color="auto" w:fill="auto"/>
            <w:tcMar>
              <w:top w:w="100" w:type="dxa"/>
              <w:left w:w="100" w:type="dxa"/>
              <w:bottom w:w="100" w:type="dxa"/>
              <w:right w:w="100" w:type="dxa"/>
            </w:tcMar>
          </w:tcPr>
          <w:p w14:paraId="035E2497" w14:textId="77777777" w:rsidR="00A840AC" w:rsidRDefault="00A840AC">
            <w:pPr>
              <w:widowControl w:val="0"/>
              <w:spacing w:line="240" w:lineRule="auto"/>
              <w:rPr>
                <w:rFonts w:ascii="Open Sans" w:eastAsia="Open Sans" w:hAnsi="Open Sans" w:cs="Open Sans"/>
                <w:color w:val="004B88"/>
                <w:sz w:val="28"/>
                <w:szCs w:val="28"/>
              </w:rPr>
            </w:pPr>
          </w:p>
          <w:p w14:paraId="4DAE5AC5" w14:textId="77777777" w:rsidR="00A840AC" w:rsidRDefault="00A840AC">
            <w:pPr>
              <w:widowControl w:val="0"/>
              <w:spacing w:line="240" w:lineRule="auto"/>
              <w:rPr>
                <w:rFonts w:ascii="Open Sans" w:eastAsia="Open Sans" w:hAnsi="Open Sans" w:cs="Open Sans"/>
                <w:color w:val="004B88"/>
                <w:sz w:val="28"/>
                <w:szCs w:val="28"/>
              </w:rPr>
            </w:pPr>
          </w:p>
          <w:p w14:paraId="34DD0DF6" w14:textId="77777777" w:rsidR="00A840AC" w:rsidRDefault="003718C8">
            <w:pPr>
              <w:widowControl w:val="0"/>
              <w:spacing w:line="240" w:lineRule="auto"/>
              <w:jc w:val="right"/>
              <w:rPr>
                <w:rFonts w:ascii="Open Sans" w:eastAsia="Open Sans" w:hAnsi="Open Sans" w:cs="Open Sans"/>
                <w:color w:val="004B88"/>
                <w:sz w:val="28"/>
                <w:szCs w:val="28"/>
              </w:rPr>
            </w:pPr>
            <w:r>
              <w:rPr>
                <w:rFonts w:ascii="Open Sans" w:eastAsia="Open Sans" w:hAnsi="Open Sans" w:cs="Open Sans"/>
                <w:noProof/>
                <w:color w:val="004B88"/>
                <w:sz w:val="28"/>
                <w:szCs w:val="28"/>
              </w:rPr>
              <w:drawing>
                <wp:inline distT="114300" distB="114300" distL="114300" distR="114300" wp14:anchorId="7A6057F6" wp14:editId="5D1B7220">
                  <wp:extent cx="3424238" cy="53816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424238" cy="5381625"/>
                          </a:xfrm>
                          <a:prstGeom prst="rect">
                            <a:avLst/>
                          </a:prstGeom>
                          <a:ln/>
                        </pic:spPr>
                      </pic:pic>
                    </a:graphicData>
                  </a:graphic>
                </wp:inline>
              </w:drawing>
            </w:r>
          </w:p>
          <w:p w14:paraId="1F6D5A68" w14:textId="77777777" w:rsidR="00A840AC" w:rsidRDefault="00A840AC">
            <w:pPr>
              <w:widowControl w:val="0"/>
              <w:spacing w:line="240" w:lineRule="auto"/>
              <w:rPr>
                <w:rFonts w:ascii="Open Sans" w:eastAsia="Open Sans" w:hAnsi="Open Sans" w:cs="Open Sans"/>
                <w:color w:val="004B88"/>
                <w:sz w:val="28"/>
                <w:szCs w:val="28"/>
              </w:rPr>
            </w:pPr>
          </w:p>
        </w:tc>
      </w:tr>
    </w:tbl>
    <w:p w14:paraId="3519694E" w14:textId="77777777" w:rsidR="00A840AC" w:rsidRDefault="00A840AC">
      <w:pPr>
        <w:widowControl w:val="0"/>
        <w:spacing w:line="240" w:lineRule="auto"/>
        <w:rPr>
          <w:rFonts w:ascii="Open Sans" w:eastAsia="Open Sans" w:hAnsi="Open Sans" w:cs="Open Sans"/>
          <w:color w:val="004888"/>
          <w:sz w:val="54"/>
          <w:szCs w:val="54"/>
        </w:rPr>
      </w:pPr>
    </w:p>
    <w:p w14:paraId="2AE9A9A2" w14:textId="77777777" w:rsidR="00A840AC" w:rsidRDefault="003718C8">
      <w:pPr>
        <w:widowControl w:val="0"/>
        <w:spacing w:line="360" w:lineRule="auto"/>
        <w:rPr>
          <w:rFonts w:ascii="Open Sans" w:eastAsia="Open Sans" w:hAnsi="Open Sans" w:cs="Open Sans"/>
          <w:b/>
          <w:color w:val="004888"/>
          <w:sz w:val="54"/>
          <w:szCs w:val="54"/>
        </w:rPr>
      </w:pPr>
      <w:r>
        <w:rPr>
          <w:rFonts w:ascii="Open Sans" w:eastAsia="Open Sans" w:hAnsi="Open Sans" w:cs="Open Sans"/>
          <w:noProof/>
          <w:color w:val="004888"/>
          <w:sz w:val="32"/>
          <w:szCs w:val="32"/>
        </w:rPr>
        <w:drawing>
          <wp:inline distT="19050" distB="19050" distL="19050" distR="19050" wp14:anchorId="00F615E9" wp14:editId="7BB34EC7">
            <wp:extent cx="490682" cy="4318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490682" cy="431800"/>
                    </a:xfrm>
                    <a:prstGeom prst="rect">
                      <a:avLst/>
                    </a:prstGeom>
                    <a:ln/>
                  </pic:spPr>
                </pic:pic>
              </a:graphicData>
            </a:graphic>
          </wp:inline>
        </w:drawing>
      </w:r>
      <w:r>
        <w:rPr>
          <w:rFonts w:ascii="Open Sans" w:eastAsia="Open Sans" w:hAnsi="Open Sans" w:cs="Open Sans"/>
          <w:color w:val="004888"/>
          <w:sz w:val="32"/>
          <w:szCs w:val="32"/>
        </w:rPr>
        <w:t xml:space="preserve">  </w:t>
      </w:r>
      <w:r>
        <w:rPr>
          <w:rFonts w:ascii="Open Sans" w:eastAsia="Open Sans" w:hAnsi="Open Sans" w:cs="Open Sans"/>
          <w:b/>
          <w:color w:val="004888"/>
          <w:sz w:val="54"/>
          <w:szCs w:val="54"/>
        </w:rPr>
        <w:t>The role</w:t>
      </w:r>
    </w:p>
    <w:p w14:paraId="611D6C97" w14:textId="77777777" w:rsidR="00A840AC" w:rsidRDefault="003718C8">
      <w:pPr>
        <w:spacing w:line="240" w:lineRule="auto"/>
        <w:rPr>
          <w:rFonts w:ascii="Open Sans" w:eastAsia="Open Sans" w:hAnsi="Open Sans" w:cs="Open Sans"/>
          <w:color w:val="004888"/>
          <w:sz w:val="24"/>
          <w:szCs w:val="24"/>
        </w:rPr>
      </w:pPr>
      <w:bookmarkStart w:id="0" w:name="_Hlk534213640"/>
      <w:r>
        <w:rPr>
          <w:rFonts w:ascii="Open Sans" w:eastAsia="Open Sans" w:hAnsi="Open Sans" w:cs="Open Sans"/>
          <w:color w:val="004888"/>
          <w:sz w:val="24"/>
          <w:szCs w:val="24"/>
        </w:rPr>
        <w:t>Citizens Advice is set to deliver a new service called “Universal Support - Help to Claim” which offers end-to-end support to help people make a new Universal Credit claim and be ready for when their first payment arrives.</w:t>
      </w:r>
    </w:p>
    <w:p w14:paraId="40DBB44C" w14:textId="77777777" w:rsidR="00A840AC" w:rsidRDefault="00A840AC">
      <w:pPr>
        <w:spacing w:line="240" w:lineRule="auto"/>
        <w:rPr>
          <w:rFonts w:ascii="Open Sans" w:eastAsia="Open Sans" w:hAnsi="Open Sans" w:cs="Open Sans"/>
          <w:color w:val="004888"/>
          <w:sz w:val="24"/>
          <w:szCs w:val="24"/>
        </w:rPr>
      </w:pPr>
    </w:p>
    <w:p w14:paraId="47A0A079" w14:textId="77777777" w:rsidR="00A840AC" w:rsidRDefault="003718C8">
      <w:pPr>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As part of this, the organisation is setting up a network of Best Practice Leads to gather and share learning about how Universal Credit and the Help to Claim service is performing, develop relationships with relevant local stakeholders and share ideas and best practice. </w:t>
      </w:r>
    </w:p>
    <w:p w14:paraId="78392C21" w14:textId="77777777" w:rsidR="00A840AC" w:rsidRDefault="00A840AC">
      <w:pPr>
        <w:spacing w:line="240" w:lineRule="auto"/>
        <w:rPr>
          <w:rFonts w:ascii="Open Sans" w:eastAsia="Open Sans" w:hAnsi="Open Sans" w:cs="Open Sans"/>
          <w:color w:val="004888"/>
          <w:sz w:val="24"/>
          <w:szCs w:val="24"/>
        </w:rPr>
      </w:pPr>
    </w:p>
    <w:p w14:paraId="445ED697" w14:textId="77777777" w:rsidR="00A840AC" w:rsidRDefault="003718C8">
      <w:pPr>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The role will work across a Jobcentre Plus district area to improve people’s experience of Universal Credit and Universal Support as well as feed into the wider Best Practice Lead network and work of national Citizens Advice.</w:t>
      </w:r>
    </w:p>
    <w:p w14:paraId="055B2837" w14:textId="77777777" w:rsidR="00A840AC" w:rsidRDefault="00A840AC">
      <w:pPr>
        <w:spacing w:line="240" w:lineRule="auto"/>
        <w:rPr>
          <w:rFonts w:ascii="Open Sans" w:eastAsia="Open Sans" w:hAnsi="Open Sans" w:cs="Open Sans"/>
          <w:color w:val="004888"/>
          <w:sz w:val="24"/>
          <w:szCs w:val="24"/>
        </w:rPr>
      </w:pPr>
    </w:p>
    <w:bookmarkEnd w:id="0"/>
    <w:p w14:paraId="152272CA" w14:textId="77777777" w:rsidR="00A840AC" w:rsidRDefault="00A840AC">
      <w:pPr>
        <w:widowControl w:val="0"/>
        <w:spacing w:line="360" w:lineRule="auto"/>
        <w:rPr>
          <w:rFonts w:ascii="Open Sans" w:eastAsia="Open Sans" w:hAnsi="Open Sans" w:cs="Open Sans"/>
          <w:color w:val="004888"/>
          <w:sz w:val="28"/>
          <w:szCs w:val="28"/>
        </w:rPr>
      </w:pPr>
    </w:p>
    <w:p w14:paraId="659A7AAF" w14:textId="77777777" w:rsidR="00A840AC" w:rsidRDefault="003718C8">
      <w:pPr>
        <w:widowControl w:val="0"/>
        <w:spacing w:line="360" w:lineRule="auto"/>
        <w:rPr>
          <w:rFonts w:ascii="Open Sans" w:eastAsia="Open Sans" w:hAnsi="Open Sans" w:cs="Open Sans"/>
          <w:i/>
          <w:color w:val="004888"/>
          <w:sz w:val="28"/>
          <w:szCs w:val="28"/>
        </w:rPr>
      </w:pPr>
      <w:r>
        <w:rPr>
          <w:rFonts w:ascii="Open Sans" w:eastAsia="Open Sans" w:hAnsi="Open Sans" w:cs="Open Sans"/>
          <w:noProof/>
          <w:color w:val="004888"/>
          <w:sz w:val="28"/>
          <w:szCs w:val="28"/>
        </w:rPr>
        <w:drawing>
          <wp:inline distT="19050" distB="19050" distL="19050" distR="19050" wp14:anchorId="28E21EE8" wp14:editId="05C87DFB">
            <wp:extent cx="490682" cy="4318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490682" cy="431800"/>
                    </a:xfrm>
                    <a:prstGeom prst="rect">
                      <a:avLst/>
                    </a:prstGeom>
                    <a:ln/>
                  </pic:spPr>
                </pic:pic>
              </a:graphicData>
            </a:graphic>
          </wp:inline>
        </w:drawing>
      </w:r>
      <w:r>
        <w:rPr>
          <w:rFonts w:ascii="Open Sans" w:eastAsia="Open Sans" w:hAnsi="Open Sans" w:cs="Open Sans"/>
          <w:color w:val="004888"/>
          <w:sz w:val="28"/>
          <w:szCs w:val="28"/>
        </w:rPr>
        <w:t xml:space="preserve">  </w:t>
      </w:r>
      <w:r>
        <w:rPr>
          <w:rFonts w:ascii="Open Sans" w:eastAsia="Open Sans" w:hAnsi="Open Sans" w:cs="Open Sans"/>
          <w:b/>
          <w:color w:val="004888"/>
          <w:sz w:val="54"/>
          <w:szCs w:val="54"/>
        </w:rPr>
        <w:t xml:space="preserve">Role profile </w:t>
      </w:r>
    </w:p>
    <w:tbl>
      <w:tblPr>
        <w:tblStyle w:val="a2"/>
        <w:tblW w:w="9570" w:type="dxa"/>
        <w:tblInd w:w="-200" w:type="dxa"/>
        <w:tblBorders>
          <w:top w:val="single" w:sz="8" w:space="0" w:color="004888"/>
          <w:left w:val="single" w:sz="8" w:space="0" w:color="004888"/>
          <w:bottom w:val="single" w:sz="8" w:space="0" w:color="004888"/>
          <w:right w:val="single" w:sz="8" w:space="0" w:color="004888"/>
          <w:insideH w:val="single" w:sz="8" w:space="0" w:color="004888"/>
          <w:insideV w:val="single" w:sz="8" w:space="0" w:color="004888"/>
        </w:tblBorders>
        <w:tblLayout w:type="fixed"/>
        <w:tblLook w:val="0000" w:firstRow="0" w:lastRow="0" w:firstColumn="0" w:lastColumn="0" w:noHBand="0" w:noVBand="0"/>
      </w:tblPr>
      <w:tblGrid>
        <w:gridCol w:w="2520"/>
        <w:gridCol w:w="7050"/>
      </w:tblGrid>
      <w:tr w:rsidR="00A840AC" w14:paraId="538CAA73" w14:textId="77777777">
        <w:tc>
          <w:tcPr>
            <w:tcW w:w="2520" w:type="dxa"/>
            <w:tcBorders>
              <w:top w:val="single" w:sz="8" w:space="0" w:color="004888"/>
              <w:left w:val="single" w:sz="8" w:space="0" w:color="004888"/>
              <w:bottom w:val="single" w:sz="8" w:space="0" w:color="004888"/>
              <w:right w:val="single" w:sz="8" w:space="0" w:color="004888"/>
            </w:tcBorders>
          </w:tcPr>
          <w:p w14:paraId="72617A77" w14:textId="77777777" w:rsidR="00A840AC" w:rsidRDefault="003718C8">
            <w:pPr>
              <w:spacing w:before="120" w:after="120"/>
              <w:rPr>
                <w:rFonts w:ascii="Open Sans" w:eastAsia="Open Sans" w:hAnsi="Open Sans" w:cs="Open Sans"/>
                <w:b/>
                <w:color w:val="004888"/>
                <w:sz w:val="24"/>
                <w:szCs w:val="24"/>
              </w:rPr>
            </w:pPr>
            <w:r>
              <w:rPr>
                <w:rFonts w:ascii="Open Sans" w:eastAsia="Open Sans" w:hAnsi="Open Sans" w:cs="Open Sans"/>
                <w:b/>
                <w:color w:val="004888"/>
                <w:sz w:val="24"/>
                <w:szCs w:val="24"/>
              </w:rPr>
              <w:t>Job Title:</w:t>
            </w:r>
          </w:p>
        </w:tc>
        <w:tc>
          <w:tcPr>
            <w:tcW w:w="7050" w:type="dxa"/>
            <w:tcBorders>
              <w:top w:val="single" w:sz="8" w:space="0" w:color="004888"/>
              <w:left w:val="single" w:sz="8" w:space="0" w:color="004888"/>
              <w:bottom w:val="single" w:sz="8" w:space="0" w:color="004888"/>
              <w:right w:val="single" w:sz="8" w:space="0" w:color="004888"/>
            </w:tcBorders>
          </w:tcPr>
          <w:p w14:paraId="20A420D7" w14:textId="61490C54" w:rsidR="00A840AC" w:rsidRPr="00215B2C" w:rsidRDefault="003718C8" w:rsidP="00215B2C">
            <w:pPr>
              <w:rPr>
                <w:b/>
                <w:color w:val="004B88"/>
              </w:rPr>
            </w:pPr>
            <w:r>
              <w:rPr>
                <w:rFonts w:ascii="Open Sans" w:eastAsia="Open Sans" w:hAnsi="Open Sans" w:cs="Open Sans"/>
                <w:color w:val="004888"/>
                <w:sz w:val="24"/>
                <w:szCs w:val="24"/>
              </w:rPr>
              <w:t>Universal Support Best Practice Lead</w:t>
            </w:r>
            <w:r w:rsidR="00215B2C">
              <w:rPr>
                <w:rFonts w:ascii="Open Sans" w:eastAsia="Open Sans" w:hAnsi="Open Sans" w:cs="Open Sans"/>
                <w:color w:val="004888"/>
                <w:sz w:val="24"/>
                <w:szCs w:val="24"/>
              </w:rPr>
              <w:t xml:space="preserve"> - </w:t>
            </w:r>
            <w:r w:rsidR="00215B2C" w:rsidRPr="00215B2C">
              <w:rPr>
                <w:b/>
                <w:color w:val="004B88"/>
              </w:rPr>
              <w:t>Job Ref: 20122</w:t>
            </w:r>
            <w:r w:rsidR="00215B2C">
              <w:rPr>
                <w:b/>
                <w:color w:val="004B88"/>
              </w:rPr>
              <w:t>/U</w:t>
            </w:r>
          </w:p>
        </w:tc>
      </w:tr>
      <w:tr w:rsidR="00A840AC" w14:paraId="1B98710D" w14:textId="77777777">
        <w:tc>
          <w:tcPr>
            <w:tcW w:w="2520" w:type="dxa"/>
            <w:tcBorders>
              <w:top w:val="single" w:sz="8" w:space="0" w:color="004888"/>
              <w:left w:val="single" w:sz="8" w:space="0" w:color="004888"/>
              <w:bottom w:val="single" w:sz="8" w:space="0" w:color="004888"/>
              <w:right w:val="single" w:sz="8" w:space="0" w:color="004888"/>
            </w:tcBorders>
          </w:tcPr>
          <w:p w14:paraId="5673EF84" w14:textId="77777777" w:rsidR="00A840AC" w:rsidRDefault="003718C8">
            <w:pPr>
              <w:spacing w:before="120" w:after="120"/>
              <w:rPr>
                <w:rFonts w:ascii="Open Sans" w:eastAsia="Open Sans" w:hAnsi="Open Sans" w:cs="Open Sans"/>
                <w:color w:val="004888"/>
                <w:sz w:val="24"/>
                <w:szCs w:val="24"/>
              </w:rPr>
            </w:pPr>
            <w:r>
              <w:rPr>
                <w:rFonts w:ascii="Open Sans" w:eastAsia="Open Sans" w:hAnsi="Open Sans" w:cs="Open Sans"/>
                <w:b/>
                <w:color w:val="004888"/>
                <w:sz w:val="24"/>
                <w:szCs w:val="24"/>
              </w:rPr>
              <w:t>Reporting to:</w:t>
            </w:r>
          </w:p>
        </w:tc>
        <w:tc>
          <w:tcPr>
            <w:tcW w:w="7050" w:type="dxa"/>
            <w:tcBorders>
              <w:top w:val="single" w:sz="8" w:space="0" w:color="004888"/>
              <w:left w:val="single" w:sz="8" w:space="0" w:color="004888"/>
              <w:bottom w:val="single" w:sz="8" w:space="0" w:color="004888"/>
              <w:right w:val="single" w:sz="8" w:space="0" w:color="004888"/>
            </w:tcBorders>
          </w:tcPr>
          <w:p w14:paraId="38B890D1" w14:textId="77777777" w:rsidR="00A840AC" w:rsidRPr="00A747C3" w:rsidRDefault="00D348A0">
            <w:pPr>
              <w:spacing w:before="120"/>
              <w:rPr>
                <w:rFonts w:ascii="Open Sans" w:eastAsia="Open Sans" w:hAnsi="Open Sans" w:cs="Open Sans"/>
                <w:color w:val="004B88"/>
                <w:sz w:val="24"/>
                <w:szCs w:val="24"/>
              </w:rPr>
            </w:pPr>
            <w:r w:rsidRPr="00A747C3">
              <w:rPr>
                <w:rFonts w:ascii="Open Sans" w:eastAsia="Open Sans" w:hAnsi="Open Sans" w:cs="Open Sans"/>
                <w:color w:val="004B88"/>
                <w:sz w:val="24"/>
                <w:szCs w:val="24"/>
              </w:rPr>
              <w:t>Operations Manager</w:t>
            </w:r>
          </w:p>
        </w:tc>
      </w:tr>
      <w:tr w:rsidR="00A840AC" w14:paraId="5BC3F96E" w14:textId="77777777">
        <w:tc>
          <w:tcPr>
            <w:tcW w:w="2520" w:type="dxa"/>
            <w:tcBorders>
              <w:top w:val="single" w:sz="8" w:space="0" w:color="004888"/>
              <w:left w:val="single" w:sz="8" w:space="0" w:color="004888"/>
              <w:bottom w:val="single" w:sz="8" w:space="0" w:color="004888"/>
              <w:right w:val="single" w:sz="8" w:space="0" w:color="004888"/>
            </w:tcBorders>
          </w:tcPr>
          <w:p w14:paraId="4235D25E" w14:textId="77777777" w:rsidR="00A840AC" w:rsidRDefault="003718C8">
            <w:pPr>
              <w:spacing w:before="120" w:after="120"/>
              <w:rPr>
                <w:rFonts w:ascii="Open Sans" w:eastAsia="Open Sans" w:hAnsi="Open Sans" w:cs="Open Sans"/>
                <w:color w:val="004888"/>
                <w:sz w:val="24"/>
                <w:szCs w:val="24"/>
              </w:rPr>
            </w:pPr>
            <w:r>
              <w:rPr>
                <w:rFonts w:ascii="Open Sans" w:eastAsia="Open Sans" w:hAnsi="Open Sans" w:cs="Open Sans"/>
                <w:b/>
                <w:color w:val="004888"/>
                <w:sz w:val="24"/>
                <w:szCs w:val="24"/>
              </w:rPr>
              <w:t>Salary:</w:t>
            </w:r>
          </w:p>
        </w:tc>
        <w:tc>
          <w:tcPr>
            <w:tcW w:w="7050" w:type="dxa"/>
            <w:tcBorders>
              <w:top w:val="single" w:sz="8" w:space="0" w:color="004888"/>
              <w:left w:val="single" w:sz="8" w:space="0" w:color="004888"/>
              <w:bottom w:val="single" w:sz="8" w:space="0" w:color="004888"/>
              <w:right w:val="single" w:sz="8" w:space="0" w:color="004888"/>
            </w:tcBorders>
            <w:vAlign w:val="center"/>
          </w:tcPr>
          <w:p w14:paraId="25D44767" w14:textId="77D1BA2E" w:rsidR="00A840AC" w:rsidRPr="00A747C3" w:rsidRDefault="00D348A0">
            <w:pPr>
              <w:spacing w:before="120"/>
              <w:rPr>
                <w:rFonts w:ascii="Open Sans" w:eastAsia="Open Sans" w:hAnsi="Open Sans" w:cs="Open Sans"/>
                <w:color w:val="004B88"/>
                <w:sz w:val="24"/>
                <w:szCs w:val="24"/>
              </w:rPr>
            </w:pPr>
            <w:r w:rsidRPr="00A747C3">
              <w:rPr>
                <w:rFonts w:ascii="Open Sans" w:eastAsia="Open Sans" w:hAnsi="Open Sans" w:cs="Open Sans"/>
                <w:color w:val="004B88"/>
                <w:sz w:val="24"/>
                <w:szCs w:val="24"/>
              </w:rPr>
              <w:t>£21,517.77</w:t>
            </w:r>
            <w:r w:rsidR="00186301" w:rsidRPr="00A747C3">
              <w:rPr>
                <w:rFonts w:ascii="Open Sans" w:eastAsia="Open Sans" w:hAnsi="Open Sans" w:cs="Open Sans"/>
                <w:color w:val="004B88"/>
                <w:sz w:val="24"/>
                <w:szCs w:val="24"/>
              </w:rPr>
              <w:t xml:space="preserve"> plus pension contribution</w:t>
            </w:r>
          </w:p>
        </w:tc>
      </w:tr>
      <w:tr w:rsidR="00A840AC" w14:paraId="7E83084C" w14:textId="77777777">
        <w:trPr>
          <w:trHeight w:val="240"/>
        </w:trPr>
        <w:tc>
          <w:tcPr>
            <w:tcW w:w="2520" w:type="dxa"/>
            <w:tcBorders>
              <w:top w:val="single" w:sz="8" w:space="0" w:color="004888"/>
              <w:left w:val="single" w:sz="8" w:space="0" w:color="004888"/>
              <w:bottom w:val="single" w:sz="8" w:space="0" w:color="004888"/>
              <w:right w:val="single" w:sz="8" w:space="0" w:color="004888"/>
            </w:tcBorders>
          </w:tcPr>
          <w:p w14:paraId="0844E7F3" w14:textId="77777777" w:rsidR="00A840AC" w:rsidRDefault="003718C8">
            <w:pPr>
              <w:spacing w:before="120" w:after="120"/>
              <w:rPr>
                <w:rFonts w:ascii="Open Sans" w:eastAsia="Open Sans" w:hAnsi="Open Sans" w:cs="Open Sans"/>
                <w:color w:val="004888"/>
                <w:sz w:val="24"/>
                <w:szCs w:val="24"/>
              </w:rPr>
            </w:pPr>
            <w:r>
              <w:rPr>
                <w:rFonts w:ascii="Open Sans" w:eastAsia="Open Sans" w:hAnsi="Open Sans" w:cs="Open Sans"/>
                <w:b/>
                <w:color w:val="004888"/>
                <w:sz w:val="24"/>
                <w:szCs w:val="24"/>
              </w:rPr>
              <w:t>Location:</w:t>
            </w:r>
          </w:p>
        </w:tc>
        <w:tc>
          <w:tcPr>
            <w:tcW w:w="7050" w:type="dxa"/>
            <w:tcBorders>
              <w:top w:val="single" w:sz="8" w:space="0" w:color="004888"/>
              <w:left w:val="single" w:sz="8" w:space="0" w:color="004888"/>
              <w:bottom w:val="single" w:sz="8" w:space="0" w:color="004888"/>
              <w:right w:val="single" w:sz="8" w:space="0" w:color="004888"/>
            </w:tcBorders>
            <w:vAlign w:val="center"/>
          </w:tcPr>
          <w:p w14:paraId="568319D6" w14:textId="77777777" w:rsidR="00A840AC" w:rsidRPr="00A747C3" w:rsidRDefault="00D348A0">
            <w:pPr>
              <w:spacing w:before="120"/>
              <w:rPr>
                <w:rFonts w:ascii="Open Sans" w:eastAsia="Open Sans" w:hAnsi="Open Sans" w:cs="Open Sans"/>
                <w:color w:val="004B88"/>
                <w:sz w:val="24"/>
                <w:szCs w:val="24"/>
              </w:rPr>
            </w:pPr>
            <w:r w:rsidRPr="00A747C3">
              <w:rPr>
                <w:rFonts w:ascii="Open Sans" w:eastAsia="Open Sans" w:hAnsi="Open Sans" w:cs="Open Sans"/>
                <w:color w:val="004B88"/>
                <w:sz w:val="24"/>
                <w:szCs w:val="24"/>
              </w:rPr>
              <w:t>Based at North Shields with networking across Tyne and Wear</w:t>
            </w:r>
          </w:p>
        </w:tc>
      </w:tr>
      <w:tr w:rsidR="00A840AC" w14:paraId="0C7D2DF3" w14:textId="77777777">
        <w:trPr>
          <w:trHeight w:val="740"/>
        </w:trPr>
        <w:tc>
          <w:tcPr>
            <w:tcW w:w="2520" w:type="dxa"/>
            <w:tcBorders>
              <w:top w:val="single" w:sz="8" w:space="0" w:color="004888"/>
              <w:left w:val="single" w:sz="8" w:space="0" w:color="004888"/>
              <w:bottom w:val="single" w:sz="8" w:space="0" w:color="004888"/>
              <w:right w:val="single" w:sz="8" w:space="0" w:color="004888"/>
            </w:tcBorders>
          </w:tcPr>
          <w:p w14:paraId="03E2387C" w14:textId="77777777" w:rsidR="00A840AC" w:rsidRDefault="003718C8">
            <w:pPr>
              <w:spacing w:before="120" w:after="120"/>
              <w:rPr>
                <w:rFonts w:ascii="Open Sans" w:eastAsia="Open Sans" w:hAnsi="Open Sans" w:cs="Open Sans"/>
                <w:color w:val="004888"/>
                <w:sz w:val="24"/>
                <w:szCs w:val="24"/>
              </w:rPr>
            </w:pPr>
            <w:r>
              <w:rPr>
                <w:rFonts w:ascii="Open Sans" w:eastAsia="Open Sans" w:hAnsi="Open Sans" w:cs="Open Sans"/>
                <w:b/>
                <w:color w:val="004888"/>
                <w:sz w:val="24"/>
                <w:szCs w:val="24"/>
              </w:rPr>
              <w:t>Role purpose:</w:t>
            </w:r>
          </w:p>
        </w:tc>
        <w:tc>
          <w:tcPr>
            <w:tcW w:w="7050" w:type="dxa"/>
            <w:tcBorders>
              <w:top w:val="single" w:sz="8" w:space="0" w:color="004888"/>
              <w:left w:val="single" w:sz="8" w:space="0" w:color="004888"/>
              <w:bottom w:val="single" w:sz="8" w:space="0" w:color="004888"/>
              <w:right w:val="single" w:sz="8" w:space="0" w:color="004888"/>
            </w:tcBorders>
          </w:tcPr>
          <w:p w14:paraId="189D9DAE" w14:textId="77777777" w:rsidR="00A840AC" w:rsidRDefault="003718C8">
            <w:pPr>
              <w:numPr>
                <w:ilvl w:val="0"/>
                <w:numId w:val="2"/>
              </w:numPr>
              <w:spacing w:line="259"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Gather learning and draw insight on how Universal Credit and Universal Support is working across a Jobcentre district. </w:t>
            </w:r>
          </w:p>
          <w:p w14:paraId="71B6CB43" w14:textId="77777777" w:rsidR="00A840AC" w:rsidRDefault="003718C8">
            <w:pPr>
              <w:numPr>
                <w:ilvl w:val="0"/>
                <w:numId w:val="2"/>
              </w:numPr>
              <w:spacing w:line="259" w:lineRule="auto"/>
              <w:rPr>
                <w:rFonts w:ascii="Open Sans" w:eastAsia="Open Sans" w:hAnsi="Open Sans" w:cs="Open Sans"/>
                <w:color w:val="004888"/>
                <w:sz w:val="24"/>
                <w:szCs w:val="24"/>
              </w:rPr>
            </w:pPr>
            <w:r>
              <w:rPr>
                <w:rFonts w:ascii="Open Sans" w:eastAsia="Open Sans" w:hAnsi="Open Sans" w:cs="Open Sans"/>
                <w:color w:val="004888"/>
                <w:sz w:val="24"/>
                <w:szCs w:val="24"/>
              </w:rPr>
              <w:t>Work with other Best Practice Leads to develop an approach to sharing this learning with relevant partners including Jobcentres, local Citizens Advice and national Citizens Advice.</w:t>
            </w:r>
          </w:p>
          <w:p w14:paraId="0CA0CC3E" w14:textId="77777777" w:rsidR="00A840AC" w:rsidRDefault="003718C8">
            <w:pPr>
              <w:numPr>
                <w:ilvl w:val="0"/>
                <w:numId w:val="2"/>
              </w:numPr>
              <w:spacing w:line="259" w:lineRule="auto"/>
              <w:rPr>
                <w:rFonts w:ascii="Open Sans" w:eastAsia="Open Sans" w:hAnsi="Open Sans" w:cs="Open Sans"/>
                <w:color w:val="004888"/>
                <w:sz w:val="24"/>
                <w:szCs w:val="24"/>
              </w:rPr>
            </w:pPr>
            <w:r>
              <w:rPr>
                <w:rFonts w:ascii="Open Sans" w:eastAsia="Open Sans" w:hAnsi="Open Sans" w:cs="Open Sans"/>
                <w:color w:val="004888"/>
                <w:sz w:val="24"/>
                <w:szCs w:val="24"/>
              </w:rPr>
              <w:t>Develop strong local relationships with relevant stakeholders including local Citizens Advice, Jobcentres, advice agencies and other voluntary sectors organisations.</w:t>
            </w:r>
          </w:p>
          <w:p w14:paraId="0FC82697" w14:textId="77777777" w:rsidR="00A840AC" w:rsidRDefault="00A840AC">
            <w:pPr>
              <w:spacing w:line="259" w:lineRule="auto"/>
              <w:ind w:left="410"/>
              <w:rPr>
                <w:rFonts w:ascii="Open Sans" w:eastAsia="Open Sans" w:hAnsi="Open Sans" w:cs="Open Sans"/>
                <w:color w:val="004888"/>
                <w:sz w:val="24"/>
                <w:szCs w:val="24"/>
              </w:rPr>
            </w:pPr>
          </w:p>
        </w:tc>
      </w:tr>
      <w:tr w:rsidR="00A840AC" w14:paraId="1EB4DEB1" w14:textId="77777777">
        <w:trPr>
          <w:trHeight w:val="640"/>
        </w:trPr>
        <w:tc>
          <w:tcPr>
            <w:tcW w:w="2520" w:type="dxa"/>
            <w:tcBorders>
              <w:top w:val="single" w:sz="8" w:space="0" w:color="004888"/>
              <w:left w:val="single" w:sz="8" w:space="0" w:color="004888"/>
              <w:bottom w:val="single" w:sz="8" w:space="0" w:color="004888"/>
              <w:right w:val="single" w:sz="8" w:space="0" w:color="004888"/>
            </w:tcBorders>
            <w:vAlign w:val="center"/>
          </w:tcPr>
          <w:p w14:paraId="39587482" w14:textId="77777777" w:rsidR="00A840AC" w:rsidRDefault="003718C8">
            <w:pPr>
              <w:spacing w:before="120" w:after="120"/>
              <w:jc w:val="center"/>
              <w:rPr>
                <w:rFonts w:ascii="Open Sans" w:eastAsia="Open Sans" w:hAnsi="Open Sans" w:cs="Open Sans"/>
                <w:color w:val="004888"/>
                <w:sz w:val="24"/>
                <w:szCs w:val="24"/>
              </w:rPr>
            </w:pPr>
            <w:r>
              <w:rPr>
                <w:rFonts w:ascii="Open Sans" w:eastAsia="Open Sans" w:hAnsi="Open Sans" w:cs="Open Sans"/>
                <w:b/>
                <w:color w:val="004888"/>
                <w:sz w:val="24"/>
                <w:szCs w:val="24"/>
              </w:rPr>
              <w:lastRenderedPageBreak/>
              <w:t>Key accountabilities</w:t>
            </w:r>
          </w:p>
        </w:tc>
        <w:tc>
          <w:tcPr>
            <w:tcW w:w="7050" w:type="dxa"/>
            <w:tcBorders>
              <w:top w:val="single" w:sz="8" w:space="0" w:color="004888"/>
              <w:left w:val="single" w:sz="8" w:space="0" w:color="004888"/>
              <w:bottom w:val="single" w:sz="8" w:space="0" w:color="004888"/>
              <w:right w:val="single" w:sz="8" w:space="0" w:color="004888"/>
            </w:tcBorders>
            <w:vAlign w:val="center"/>
          </w:tcPr>
          <w:p w14:paraId="117A5FAB" w14:textId="77777777" w:rsidR="00A840AC" w:rsidRDefault="003718C8">
            <w:pPr>
              <w:spacing w:before="120" w:after="120"/>
              <w:jc w:val="center"/>
              <w:rPr>
                <w:rFonts w:ascii="Open Sans" w:eastAsia="Open Sans" w:hAnsi="Open Sans" w:cs="Open Sans"/>
                <w:color w:val="004888"/>
                <w:sz w:val="24"/>
                <w:szCs w:val="24"/>
              </w:rPr>
            </w:pPr>
            <w:r>
              <w:rPr>
                <w:rFonts w:ascii="Open Sans" w:eastAsia="Open Sans" w:hAnsi="Open Sans" w:cs="Open Sans"/>
                <w:b/>
                <w:color w:val="004888"/>
                <w:sz w:val="24"/>
                <w:szCs w:val="24"/>
              </w:rPr>
              <w:t>Key elements/Tasks</w:t>
            </w:r>
          </w:p>
        </w:tc>
      </w:tr>
      <w:tr w:rsidR="00A840AC" w14:paraId="3C38C4D0" w14:textId="77777777">
        <w:tc>
          <w:tcPr>
            <w:tcW w:w="2520" w:type="dxa"/>
            <w:tcBorders>
              <w:top w:val="single" w:sz="8" w:space="0" w:color="004888"/>
              <w:left w:val="single" w:sz="8" w:space="0" w:color="004888"/>
              <w:bottom w:val="single" w:sz="8" w:space="0" w:color="004888"/>
              <w:right w:val="single" w:sz="8" w:space="0" w:color="004888"/>
            </w:tcBorders>
          </w:tcPr>
          <w:p w14:paraId="1BCFEF4A" w14:textId="77777777" w:rsidR="00A840AC" w:rsidRDefault="003718C8">
            <w:pPr>
              <w:spacing w:before="240"/>
              <w:rPr>
                <w:rFonts w:ascii="Open Sans" w:eastAsia="Open Sans" w:hAnsi="Open Sans" w:cs="Open Sans"/>
                <w:color w:val="004888"/>
                <w:sz w:val="24"/>
                <w:szCs w:val="24"/>
              </w:rPr>
            </w:pPr>
            <w:r>
              <w:rPr>
                <w:rFonts w:ascii="Open Sans" w:eastAsia="Open Sans" w:hAnsi="Open Sans" w:cs="Open Sans"/>
                <w:b/>
                <w:color w:val="004888"/>
                <w:sz w:val="24"/>
                <w:szCs w:val="24"/>
              </w:rPr>
              <w:t>Information gathering and feedback</w:t>
            </w:r>
          </w:p>
        </w:tc>
        <w:tc>
          <w:tcPr>
            <w:tcW w:w="7050" w:type="dxa"/>
            <w:tcBorders>
              <w:top w:val="single" w:sz="8" w:space="0" w:color="004888"/>
              <w:left w:val="single" w:sz="8" w:space="0" w:color="004888"/>
              <w:bottom w:val="single" w:sz="8" w:space="0" w:color="004888"/>
              <w:right w:val="single" w:sz="8" w:space="0" w:color="004888"/>
            </w:tcBorders>
          </w:tcPr>
          <w:p w14:paraId="131BAC33" w14:textId="77777777" w:rsidR="00A840AC" w:rsidRDefault="003718C8">
            <w:pPr>
              <w:numPr>
                <w:ilvl w:val="0"/>
                <w:numId w:val="11"/>
              </w:numPr>
              <w:spacing w:line="259" w:lineRule="auto"/>
              <w:rPr>
                <w:rFonts w:ascii="Open Sans" w:eastAsia="Open Sans" w:hAnsi="Open Sans" w:cs="Open Sans"/>
                <w:color w:val="004888"/>
                <w:sz w:val="24"/>
                <w:szCs w:val="24"/>
              </w:rPr>
            </w:pPr>
            <w:r>
              <w:rPr>
                <w:rFonts w:ascii="Open Sans" w:eastAsia="Open Sans" w:hAnsi="Open Sans" w:cs="Open Sans"/>
                <w:color w:val="004888"/>
                <w:sz w:val="24"/>
                <w:szCs w:val="24"/>
              </w:rPr>
              <w:t>Continuously review the implementation of Universal Credit and Universal Support and share local and regional insight with relevant stakeholders.</w:t>
            </w:r>
          </w:p>
          <w:p w14:paraId="27A9CA7D" w14:textId="77777777" w:rsidR="00A840AC" w:rsidRDefault="003718C8">
            <w:pPr>
              <w:numPr>
                <w:ilvl w:val="0"/>
                <w:numId w:val="11"/>
              </w:numPr>
              <w:spacing w:line="259" w:lineRule="auto"/>
              <w:rPr>
                <w:rFonts w:ascii="Open Sans" w:eastAsia="Open Sans" w:hAnsi="Open Sans" w:cs="Open Sans"/>
                <w:color w:val="004888"/>
                <w:sz w:val="24"/>
                <w:szCs w:val="24"/>
              </w:rPr>
            </w:pPr>
            <w:r>
              <w:rPr>
                <w:rFonts w:ascii="Open Sans" w:eastAsia="Open Sans" w:hAnsi="Open Sans" w:cs="Open Sans"/>
                <w:color w:val="004888"/>
                <w:sz w:val="24"/>
                <w:szCs w:val="24"/>
              </w:rPr>
              <w:t>Gather feedback from other local Citizens Advice about how Universal Credit and Universal Support is performing and work with national colleagues to feed into appropriate channels such as Policy and Advocacy or Performance.</w:t>
            </w:r>
          </w:p>
          <w:p w14:paraId="37C9EC76" w14:textId="77777777" w:rsidR="00A840AC" w:rsidRDefault="003718C8">
            <w:pPr>
              <w:numPr>
                <w:ilvl w:val="0"/>
                <w:numId w:val="11"/>
              </w:numPr>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Proactively identify emerging and potential issues with Universal Credit or Universal Support and take appropriate action such as liaising with the central Citizens Advice Universal Support team.</w:t>
            </w:r>
          </w:p>
          <w:p w14:paraId="5881368B" w14:textId="77777777" w:rsidR="00A840AC" w:rsidRDefault="003718C8">
            <w:pPr>
              <w:numPr>
                <w:ilvl w:val="0"/>
                <w:numId w:val="11"/>
              </w:numPr>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Support  advisors to record Universal Credit information accurately and gather case studies of people’s experiences.</w:t>
            </w:r>
          </w:p>
          <w:p w14:paraId="70165DDE" w14:textId="77777777" w:rsidR="00A840AC" w:rsidRDefault="003718C8">
            <w:pPr>
              <w:numPr>
                <w:ilvl w:val="0"/>
                <w:numId w:val="11"/>
              </w:numPr>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Contribute to the evaluation of work related to Universal Credit and Universal Support. </w:t>
            </w:r>
          </w:p>
          <w:p w14:paraId="251BF2A7" w14:textId="77777777" w:rsidR="00A840AC" w:rsidRDefault="003718C8">
            <w:pPr>
              <w:numPr>
                <w:ilvl w:val="0"/>
                <w:numId w:val="11"/>
              </w:numPr>
              <w:spacing w:after="160" w:line="259" w:lineRule="auto"/>
              <w:rPr>
                <w:rFonts w:ascii="Open Sans" w:eastAsia="Open Sans" w:hAnsi="Open Sans" w:cs="Open Sans"/>
                <w:color w:val="004888"/>
                <w:sz w:val="24"/>
                <w:szCs w:val="24"/>
              </w:rPr>
            </w:pPr>
            <w:r>
              <w:rPr>
                <w:rFonts w:ascii="Open Sans" w:eastAsia="Open Sans" w:hAnsi="Open Sans" w:cs="Open Sans"/>
                <w:color w:val="004888"/>
                <w:sz w:val="24"/>
                <w:szCs w:val="24"/>
              </w:rPr>
              <w:t>Shareall relevant information in a clear and timely manner.</w:t>
            </w:r>
          </w:p>
        </w:tc>
      </w:tr>
      <w:tr w:rsidR="00A840AC" w14:paraId="7ECD4B45" w14:textId="77777777">
        <w:tc>
          <w:tcPr>
            <w:tcW w:w="2520" w:type="dxa"/>
            <w:tcBorders>
              <w:top w:val="single" w:sz="8" w:space="0" w:color="004888"/>
              <w:left w:val="single" w:sz="8" w:space="0" w:color="004888"/>
              <w:bottom w:val="single" w:sz="8" w:space="0" w:color="004888"/>
              <w:right w:val="single" w:sz="8" w:space="0" w:color="004888"/>
            </w:tcBorders>
          </w:tcPr>
          <w:p w14:paraId="68E338BA" w14:textId="77777777" w:rsidR="00A840AC" w:rsidRDefault="003718C8">
            <w:pPr>
              <w:spacing w:before="240" w:after="120"/>
              <w:rPr>
                <w:rFonts w:ascii="Open Sans" w:eastAsia="Open Sans" w:hAnsi="Open Sans" w:cs="Open Sans"/>
                <w:color w:val="004888"/>
                <w:sz w:val="24"/>
                <w:szCs w:val="24"/>
              </w:rPr>
            </w:pPr>
            <w:r>
              <w:rPr>
                <w:rFonts w:ascii="Open Sans" w:eastAsia="Open Sans" w:hAnsi="Open Sans" w:cs="Open Sans"/>
                <w:b/>
                <w:color w:val="004888"/>
                <w:sz w:val="24"/>
                <w:szCs w:val="24"/>
              </w:rPr>
              <w:t>Sharing best practice</w:t>
            </w:r>
          </w:p>
        </w:tc>
        <w:tc>
          <w:tcPr>
            <w:tcW w:w="7050" w:type="dxa"/>
            <w:tcBorders>
              <w:top w:val="single" w:sz="8" w:space="0" w:color="004888"/>
              <w:left w:val="single" w:sz="8" w:space="0" w:color="004888"/>
              <w:bottom w:val="single" w:sz="8" w:space="0" w:color="004888"/>
              <w:right w:val="single" w:sz="8" w:space="0" w:color="004888"/>
            </w:tcBorders>
          </w:tcPr>
          <w:p w14:paraId="70041740" w14:textId="77777777" w:rsidR="00A840AC" w:rsidRDefault="00A840AC">
            <w:pPr>
              <w:rPr>
                <w:rFonts w:ascii="Open Sans" w:eastAsia="Open Sans" w:hAnsi="Open Sans" w:cs="Open Sans"/>
                <w:color w:val="004888"/>
                <w:sz w:val="24"/>
                <w:szCs w:val="24"/>
              </w:rPr>
            </w:pPr>
          </w:p>
          <w:p w14:paraId="67FCF0BA" w14:textId="77777777" w:rsidR="00A840AC" w:rsidRDefault="003718C8">
            <w:pPr>
              <w:numPr>
                <w:ilvl w:val="0"/>
                <w:numId w:val="8"/>
              </w:numPr>
              <w:spacing w:line="259" w:lineRule="auto"/>
              <w:jc w:val="both"/>
              <w:rPr>
                <w:rFonts w:ascii="Open Sans" w:eastAsia="Open Sans" w:hAnsi="Open Sans" w:cs="Open Sans"/>
                <w:color w:val="004888"/>
                <w:sz w:val="24"/>
                <w:szCs w:val="24"/>
              </w:rPr>
            </w:pPr>
            <w:r>
              <w:rPr>
                <w:rFonts w:ascii="Open Sans" w:eastAsia="Open Sans" w:hAnsi="Open Sans" w:cs="Open Sans"/>
                <w:color w:val="004888"/>
                <w:sz w:val="24"/>
                <w:szCs w:val="24"/>
              </w:rPr>
              <w:t>Gather information from across the district about what works in relation to Universal Credit and Universal Support.</w:t>
            </w:r>
          </w:p>
          <w:p w14:paraId="6DAC00C9" w14:textId="77777777" w:rsidR="00A840AC" w:rsidRDefault="003718C8">
            <w:pPr>
              <w:numPr>
                <w:ilvl w:val="0"/>
                <w:numId w:val="8"/>
              </w:numPr>
              <w:spacing w:line="259" w:lineRule="auto"/>
              <w:jc w:val="both"/>
              <w:rPr>
                <w:rFonts w:ascii="Open Sans" w:eastAsia="Open Sans" w:hAnsi="Open Sans" w:cs="Open Sans"/>
                <w:color w:val="004888"/>
                <w:sz w:val="24"/>
                <w:szCs w:val="24"/>
              </w:rPr>
            </w:pPr>
            <w:r>
              <w:rPr>
                <w:rFonts w:ascii="Open Sans" w:eastAsia="Open Sans" w:hAnsi="Open Sans" w:cs="Open Sans"/>
                <w:color w:val="004888"/>
                <w:sz w:val="24"/>
                <w:szCs w:val="24"/>
              </w:rPr>
              <w:t>Actively involve, share and communicate work being done across the service on Universal Credit and US.</w:t>
            </w:r>
          </w:p>
          <w:p w14:paraId="7AA70A77" w14:textId="77777777" w:rsidR="00A840AC" w:rsidRDefault="003718C8">
            <w:pPr>
              <w:numPr>
                <w:ilvl w:val="0"/>
                <w:numId w:val="8"/>
              </w:numPr>
              <w:spacing w:line="259" w:lineRule="auto"/>
              <w:jc w:val="both"/>
              <w:rPr>
                <w:rFonts w:ascii="Open Sans" w:eastAsia="Open Sans" w:hAnsi="Open Sans" w:cs="Open Sans"/>
                <w:color w:val="004888"/>
                <w:sz w:val="24"/>
                <w:szCs w:val="24"/>
              </w:rPr>
            </w:pPr>
            <w:r>
              <w:rPr>
                <w:rFonts w:ascii="Open Sans" w:eastAsia="Open Sans" w:hAnsi="Open Sans" w:cs="Open Sans"/>
                <w:color w:val="004888"/>
                <w:sz w:val="24"/>
                <w:szCs w:val="24"/>
              </w:rPr>
              <w:t>Feed into national Citizens Advice work on developing and sharing best practice.</w:t>
            </w:r>
          </w:p>
          <w:p w14:paraId="75496359" w14:textId="77777777" w:rsidR="00A840AC" w:rsidRDefault="003718C8">
            <w:pPr>
              <w:numPr>
                <w:ilvl w:val="0"/>
                <w:numId w:val="8"/>
              </w:numPr>
              <w:spacing w:line="259" w:lineRule="auto"/>
              <w:jc w:val="both"/>
              <w:rPr>
                <w:rFonts w:ascii="Open Sans" w:eastAsia="Open Sans" w:hAnsi="Open Sans" w:cs="Open Sans"/>
                <w:color w:val="004888"/>
                <w:sz w:val="24"/>
                <w:szCs w:val="24"/>
              </w:rPr>
            </w:pPr>
            <w:r>
              <w:rPr>
                <w:rFonts w:ascii="Open Sans" w:eastAsia="Open Sans" w:hAnsi="Open Sans" w:cs="Open Sans"/>
                <w:color w:val="004888"/>
                <w:sz w:val="24"/>
                <w:szCs w:val="24"/>
              </w:rPr>
              <w:t>Encourage local offices across the district to share and adopt best practice.</w:t>
            </w:r>
          </w:p>
          <w:p w14:paraId="1B7551BC" w14:textId="77777777" w:rsidR="00A840AC" w:rsidRDefault="00A840AC">
            <w:pPr>
              <w:widowControl w:val="0"/>
              <w:rPr>
                <w:rFonts w:ascii="Open Sans" w:eastAsia="Open Sans" w:hAnsi="Open Sans" w:cs="Open Sans"/>
                <w:color w:val="004888"/>
                <w:sz w:val="24"/>
                <w:szCs w:val="24"/>
              </w:rPr>
            </w:pPr>
          </w:p>
        </w:tc>
      </w:tr>
      <w:tr w:rsidR="00A840AC" w14:paraId="4C284631" w14:textId="77777777">
        <w:tc>
          <w:tcPr>
            <w:tcW w:w="2520" w:type="dxa"/>
            <w:tcBorders>
              <w:top w:val="single" w:sz="8" w:space="0" w:color="004888"/>
              <w:left w:val="single" w:sz="8" w:space="0" w:color="004888"/>
              <w:bottom w:val="single" w:sz="8" w:space="0" w:color="004888"/>
              <w:right w:val="single" w:sz="8" w:space="0" w:color="004888"/>
            </w:tcBorders>
          </w:tcPr>
          <w:p w14:paraId="24CD9C31" w14:textId="77777777" w:rsidR="00A840AC" w:rsidRDefault="003718C8">
            <w:pPr>
              <w:spacing w:before="240" w:after="120"/>
              <w:rPr>
                <w:rFonts w:ascii="Open Sans" w:eastAsia="Open Sans" w:hAnsi="Open Sans" w:cs="Open Sans"/>
                <w:color w:val="004888"/>
                <w:sz w:val="24"/>
                <w:szCs w:val="24"/>
              </w:rPr>
            </w:pPr>
            <w:r>
              <w:rPr>
                <w:rFonts w:ascii="Open Sans" w:eastAsia="Open Sans" w:hAnsi="Open Sans" w:cs="Open Sans"/>
                <w:b/>
                <w:color w:val="004888"/>
                <w:sz w:val="24"/>
                <w:szCs w:val="24"/>
              </w:rPr>
              <w:t>Stakeholder relationships</w:t>
            </w:r>
          </w:p>
        </w:tc>
        <w:tc>
          <w:tcPr>
            <w:tcW w:w="7050" w:type="dxa"/>
            <w:tcBorders>
              <w:top w:val="single" w:sz="8" w:space="0" w:color="004888"/>
              <w:left w:val="single" w:sz="8" w:space="0" w:color="004888"/>
              <w:bottom w:val="single" w:sz="8" w:space="0" w:color="004888"/>
              <w:right w:val="single" w:sz="8" w:space="0" w:color="004888"/>
            </w:tcBorders>
          </w:tcPr>
          <w:p w14:paraId="7EEDBCAB" w14:textId="77777777" w:rsidR="00A840AC" w:rsidRDefault="00A840AC">
            <w:pPr>
              <w:widowControl w:val="0"/>
              <w:rPr>
                <w:rFonts w:ascii="Open Sans" w:eastAsia="Open Sans" w:hAnsi="Open Sans" w:cs="Open Sans"/>
                <w:color w:val="004888"/>
                <w:sz w:val="24"/>
                <w:szCs w:val="24"/>
              </w:rPr>
            </w:pPr>
          </w:p>
          <w:p w14:paraId="016BE728" w14:textId="77777777" w:rsidR="00A840AC" w:rsidRDefault="003718C8">
            <w:pPr>
              <w:numPr>
                <w:ilvl w:val="0"/>
                <w:numId w:val="10"/>
              </w:numPr>
              <w:spacing w:line="259" w:lineRule="auto"/>
              <w:rPr>
                <w:rFonts w:ascii="Open Sans" w:eastAsia="Open Sans" w:hAnsi="Open Sans" w:cs="Open Sans"/>
                <w:color w:val="004888"/>
                <w:sz w:val="24"/>
                <w:szCs w:val="24"/>
              </w:rPr>
            </w:pPr>
            <w:r>
              <w:rPr>
                <w:rFonts w:ascii="Open Sans" w:eastAsia="Open Sans" w:hAnsi="Open Sans" w:cs="Open Sans"/>
                <w:color w:val="004888"/>
                <w:sz w:val="24"/>
                <w:szCs w:val="24"/>
              </w:rPr>
              <w:t>Develop and implement a district-wide stakeholder strategy including approach to:</w:t>
            </w:r>
          </w:p>
          <w:p w14:paraId="238FA6E6" w14:textId="77777777" w:rsidR="00A840AC" w:rsidRDefault="003718C8">
            <w:pPr>
              <w:numPr>
                <w:ilvl w:val="1"/>
                <w:numId w:val="10"/>
              </w:numPr>
              <w:spacing w:line="259" w:lineRule="auto"/>
              <w:rPr>
                <w:rFonts w:ascii="Open Sans" w:eastAsia="Open Sans" w:hAnsi="Open Sans" w:cs="Open Sans"/>
                <w:color w:val="004888"/>
                <w:sz w:val="24"/>
                <w:szCs w:val="24"/>
              </w:rPr>
            </w:pPr>
            <w:r>
              <w:rPr>
                <w:rFonts w:ascii="Open Sans" w:eastAsia="Open Sans" w:hAnsi="Open Sans" w:cs="Open Sans"/>
                <w:color w:val="004888"/>
                <w:sz w:val="24"/>
                <w:szCs w:val="24"/>
              </w:rPr>
              <w:t>relationships with other local Citizens Advice which encourage the sharing of information and best practice around Universal Credit and Universal Support.</w:t>
            </w:r>
          </w:p>
          <w:p w14:paraId="59029654" w14:textId="77777777" w:rsidR="00A840AC" w:rsidRDefault="003718C8">
            <w:pPr>
              <w:numPr>
                <w:ilvl w:val="1"/>
                <w:numId w:val="10"/>
              </w:numPr>
              <w:spacing w:line="259"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relationships with Jobcentres at a district level and </w:t>
            </w:r>
            <w:r>
              <w:rPr>
                <w:rFonts w:ascii="Open Sans" w:eastAsia="Open Sans" w:hAnsi="Open Sans" w:cs="Open Sans"/>
                <w:color w:val="004888"/>
                <w:sz w:val="24"/>
                <w:szCs w:val="24"/>
              </w:rPr>
              <w:lastRenderedPageBreak/>
              <w:t>establishing channels for communicating issues and sharing information.</w:t>
            </w:r>
          </w:p>
          <w:p w14:paraId="534DF283" w14:textId="77777777" w:rsidR="00A840AC" w:rsidRDefault="003718C8">
            <w:pPr>
              <w:numPr>
                <w:ilvl w:val="1"/>
                <w:numId w:val="10"/>
              </w:numPr>
              <w:spacing w:line="259" w:lineRule="auto"/>
              <w:rPr>
                <w:rFonts w:ascii="Open Sans" w:eastAsia="Open Sans" w:hAnsi="Open Sans" w:cs="Open Sans"/>
                <w:color w:val="004888"/>
                <w:sz w:val="24"/>
                <w:szCs w:val="24"/>
              </w:rPr>
            </w:pPr>
            <w:r>
              <w:rPr>
                <w:rFonts w:ascii="Open Sans" w:eastAsia="Open Sans" w:hAnsi="Open Sans" w:cs="Open Sans"/>
                <w:color w:val="004888"/>
                <w:sz w:val="24"/>
                <w:szCs w:val="24"/>
              </w:rPr>
              <w:t>relationships with other relevant local stakeholders with an interest in or potential intelligence about Universal Credit and Universal Support.</w:t>
            </w:r>
          </w:p>
          <w:p w14:paraId="705D7396" w14:textId="77777777" w:rsidR="00A840AC" w:rsidRDefault="003718C8">
            <w:pPr>
              <w:numPr>
                <w:ilvl w:val="0"/>
                <w:numId w:val="10"/>
              </w:numPr>
              <w:spacing w:after="160" w:line="259" w:lineRule="auto"/>
              <w:rPr>
                <w:rFonts w:ascii="Open Sans" w:eastAsia="Open Sans" w:hAnsi="Open Sans" w:cs="Open Sans"/>
                <w:color w:val="004888"/>
                <w:sz w:val="24"/>
                <w:szCs w:val="24"/>
              </w:rPr>
            </w:pPr>
            <w:r>
              <w:rPr>
                <w:rFonts w:ascii="Open Sans" w:eastAsia="Open Sans" w:hAnsi="Open Sans" w:cs="Open Sans"/>
                <w:color w:val="004888"/>
                <w:sz w:val="24"/>
                <w:szCs w:val="24"/>
              </w:rPr>
              <w:t>Promote visibility and build support for the Universal Credit Help to Claim service.</w:t>
            </w:r>
          </w:p>
        </w:tc>
      </w:tr>
      <w:tr w:rsidR="00A840AC" w14:paraId="6BDF5ECD" w14:textId="77777777">
        <w:tc>
          <w:tcPr>
            <w:tcW w:w="2520" w:type="dxa"/>
            <w:tcBorders>
              <w:top w:val="single" w:sz="8" w:space="0" w:color="004888"/>
              <w:left w:val="single" w:sz="8" w:space="0" w:color="004888"/>
              <w:bottom w:val="single" w:sz="8" w:space="0" w:color="004888"/>
              <w:right w:val="single" w:sz="8" w:space="0" w:color="004888"/>
            </w:tcBorders>
          </w:tcPr>
          <w:p w14:paraId="401993A7" w14:textId="77777777" w:rsidR="00A840AC" w:rsidRDefault="003718C8">
            <w:pPr>
              <w:spacing w:before="240" w:after="120"/>
              <w:rPr>
                <w:rFonts w:ascii="Open Sans" w:eastAsia="Open Sans" w:hAnsi="Open Sans" w:cs="Open Sans"/>
                <w:color w:val="004888"/>
                <w:sz w:val="24"/>
                <w:szCs w:val="24"/>
              </w:rPr>
            </w:pPr>
            <w:r>
              <w:rPr>
                <w:rFonts w:ascii="Open Sans" w:eastAsia="Open Sans" w:hAnsi="Open Sans" w:cs="Open Sans"/>
                <w:color w:val="004888"/>
                <w:sz w:val="24"/>
                <w:szCs w:val="24"/>
              </w:rPr>
              <w:lastRenderedPageBreak/>
              <w:t>Contribute to the development of the Best Practice Lead network</w:t>
            </w:r>
          </w:p>
        </w:tc>
        <w:tc>
          <w:tcPr>
            <w:tcW w:w="7050" w:type="dxa"/>
            <w:tcBorders>
              <w:top w:val="single" w:sz="8" w:space="0" w:color="004888"/>
              <w:left w:val="single" w:sz="8" w:space="0" w:color="004888"/>
              <w:bottom w:val="single" w:sz="8" w:space="0" w:color="004888"/>
              <w:right w:val="single" w:sz="8" w:space="0" w:color="004888"/>
            </w:tcBorders>
          </w:tcPr>
          <w:p w14:paraId="30423CF2" w14:textId="77777777" w:rsidR="00A840AC" w:rsidRDefault="003718C8">
            <w:pPr>
              <w:numPr>
                <w:ilvl w:val="0"/>
                <w:numId w:val="1"/>
              </w:numPr>
              <w:spacing w:line="259" w:lineRule="auto"/>
              <w:rPr>
                <w:rFonts w:ascii="Open Sans" w:eastAsia="Open Sans" w:hAnsi="Open Sans" w:cs="Open Sans"/>
                <w:color w:val="004888"/>
                <w:sz w:val="24"/>
                <w:szCs w:val="24"/>
              </w:rPr>
            </w:pPr>
            <w:r>
              <w:rPr>
                <w:rFonts w:ascii="Open Sans" w:eastAsia="Open Sans" w:hAnsi="Open Sans" w:cs="Open Sans"/>
                <w:color w:val="004888"/>
                <w:sz w:val="24"/>
                <w:szCs w:val="24"/>
              </w:rPr>
              <w:t>Work both independently and collaboratively with others to find creative and innovative solutions.</w:t>
            </w:r>
          </w:p>
          <w:p w14:paraId="7828CA21" w14:textId="77777777" w:rsidR="00A840AC" w:rsidRDefault="003718C8">
            <w:pPr>
              <w:numPr>
                <w:ilvl w:val="0"/>
                <w:numId w:val="1"/>
              </w:numPr>
              <w:spacing w:line="259" w:lineRule="auto"/>
              <w:rPr>
                <w:rFonts w:ascii="Open Sans" w:eastAsia="Open Sans" w:hAnsi="Open Sans" w:cs="Open Sans"/>
                <w:color w:val="004888"/>
                <w:sz w:val="24"/>
                <w:szCs w:val="24"/>
              </w:rPr>
            </w:pPr>
            <w:r>
              <w:rPr>
                <w:rFonts w:ascii="Open Sans" w:eastAsia="Open Sans" w:hAnsi="Open Sans" w:cs="Open Sans"/>
                <w:color w:val="004888"/>
                <w:sz w:val="24"/>
                <w:szCs w:val="24"/>
              </w:rPr>
              <w:t>Use influencing, negotiation, persuasion skills to enable the delivery of positive solutions working with local Citizens Advice across the network.</w:t>
            </w:r>
          </w:p>
          <w:p w14:paraId="4FDF595C" w14:textId="77777777" w:rsidR="00A840AC" w:rsidRDefault="003718C8">
            <w:pPr>
              <w:numPr>
                <w:ilvl w:val="0"/>
                <w:numId w:val="1"/>
              </w:numPr>
              <w:spacing w:line="259" w:lineRule="auto"/>
              <w:rPr>
                <w:rFonts w:ascii="Open Sans" w:eastAsia="Open Sans" w:hAnsi="Open Sans" w:cs="Open Sans"/>
                <w:color w:val="004888"/>
                <w:sz w:val="24"/>
                <w:szCs w:val="24"/>
              </w:rPr>
            </w:pPr>
            <w:r>
              <w:rPr>
                <w:rFonts w:ascii="Open Sans" w:eastAsia="Open Sans" w:hAnsi="Open Sans" w:cs="Open Sans"/>
                <w:color w:val="004888"/>
                <w:sz w:val="24"/>
                <w:szCs w:val="24"/>
              </w:rPr>
              <w:t>Develop coaching and mentoring skills.</w:t>
            </w:r>
          </w:p>
          <w:p w14:paraId="4674048D" w14:textId="77777777" w:rsidR="00A840AC" w:rsidRDefault="00A840AC">
            <w:pPr>
              <w:spacing w:line="259" w:lineRule="auto"/>
              <w:ind w:left="720"/>
              <w:rPr>
                <w:rFonts w:ascii="Open Sans" w:eastAsia="Open Sans" w:hAnsi="Open Sans" w:cs="Open Sans"/>
                <w:color w:val="004888"/>
                <w:sz w:val="24"/>
                <w:szCs w:val="24"/>
              </w:rPr>
            </w:pPr>
          </w:p>
        </w:tc>
      </w:tr>
    </w:tbl>
    <w:p w14:paraId="7344C68C" w14:textId="77777777" w:rsidR="00A840AC" w:rsidRDefault="00A840AC">
      <w:pPr>
        <w:widowControl w:val="0"/>
        <w:spacing w:line="360" w:lineRule="auto"/>
        <w:rPr>
          <w:rFonts w:ascii="Open Sans" w:eastAsia="Open Sans" w:hAnsi="Open Sans" w:cs="Open Sans"/>
          <w:color w:val="004888"/>
          <w:sz w:val="32"/>
          <w:szCs w:val="32"/>
        </w:rPr>
      </w:pPr>
    </w:p>
    <w:p w14:paraId="3081CE3D" w14:textId="77777777" w:rsidR="00A840AC" w:rsidRDefault="003718C8">
      <w:pPr>
        <w:widowControl w:val="0"/>
        <w:spacing w:line="360" w:lineRule="auto"/>
        <w:rPr>
          <w:rFonts w:ascii="Open Sans" w:eastAsia="Open Sans" w:hAnsi="Open Sans" w:cs="Open Sans"/>
          <w:color w:val="004888"/>
          <w:sz w:val="24"/>
          <w:szCs w:val="24"/>
        </w:rPr>
      </w:pPr>
      <w:r>
        <w:rPr>
          <w:rFonts w:ascii="Open Sans" w:eastAsia="Open Sans" w:hAnsi="Open Sans" w:cs="Open Sans"/>
          <w:noProof/>
          <w:color w:val="004888"/>
          <w:sz w:val="32"/>
          <w:szCs w:val="32"/>
        </w:rPr>
        <w:drawing>
          <wp:inline distT="19050" distB="19050" distL="19050" distR="19050" wp14:anchorId="7795B589" wp14:editId="4562412E">
            <wp:extent cx="490682" cy="43180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490682" cy="431800"/>
                    </a:xfrm>
                    <a:prstGeom prst="rect">
                      <a:avLst/>
                    </a:prstGeom>
                    <a:ln/>
                  </pic:spPr>
                </pic:pic>
              </a:graphicData>
            </a:graphic>
          </wp:inline>
        </w:drawing>
      </w:r>
      <w:r>
        <w:rPr>
          <w:rFonts w:ascii="Open Sans" w:eastAsia="Open Sans" w:hAnsi="Open Sans" w:cs="Open Sans"/>
          <w:color w:val="004888"/>
          <w:sz w:val="32"/>
          <w:szCs w:val="32"/>
        </w:rPr>
        <w:t xml:space="preserve">  </w:t>
      </w:r>
      <w:r>
        <w:rPr>
          <w:rFonts w:ascii="Open Sans" w:eastAsia="Open Sans" w:hAnsi="Open Sans" w:cs="Open Sans"/>
          <w:b/>
          <w:color w:val="004888"/>
          <w:sz w:val="54"/>
          <w:szCs w:val="54"/>
        </w:rPr>
        <w:t>Person specification</w:t>
      </w:r>
    </w:p>
    <w:p w14:paraId="7ED1CADB" w14:textId="77777777" w:rsidR="00A840AC" w:rsidRDefault="00A840AC">
      <w:pPr>
        <w:ind w:left="720"/>
        <w:rPr>
          <w:rFonts w:ascii="Open Sans" w:eastAsia="Open Sans" w:hAnsi="Open Sans" w:cs="Open Sans"/>
          <w:color w:val="004888"/>
          <w:sz w:val="24"/>
          <w:szCs w:val="24"/>
        </w:rPr>
      </w:pPr>
    </w:p>
    <w:p w14:paraId="51602573" w14:textId="77777777" w:rsidR="00A840AC" w:rsidRDefault="003718C8">
      <w:pPr>
        <w:rPr>
          <w:rFonts w:ascii="Open Sans" w:eastAsia="Open Sans" w:hAnsi="Open Sans" w:cs="Open Sans"/>
          <w:b/>
          <w:color w:val="004888"/>
          <w:sz w:val="24"/>
          <w:szCs w:val="24"/>
        </w:rPr>
      </w:pPr>
      <w:r>
        <w:rPr>
          <w:rFonts w:ascii="Open Sans" w:eastAsia="Open Sans" w:hAnsi="Open Sans" w:cs="Open Sans"/>
          <w:b/>
          <w:color w:val="004888"/>
          <w:sz w:val="24"/>
          <w:szCs w:val="24"/>
        </w:rPr>
        <w:t>Key Essential Criteria</w:t>
      </w:r>
      <w:r>
        <w:rPr>
          <w:rFonts w:ascii="Open Sans" w:eastAsia="Open Sans" w:hAnsi="Open Sans" w:cs="Open Sans"/>
          <w:b/>
          <w:color w:val="004888"/>
          <w:sz w:val="24"/>
          <w:szCs w:val="24"/>
        </w:rPr>
        <w:br/>
      </w:r>
    </w:p>
    <w:p w14:paraId="70898A36" w14:textId="77777777" w:rsidR="00A840AC" w:rsidRDefault="003718C8">
      <w:pPr>
        <w:numPr>
          <w:ilvl w:val="0"/>
          <w:numId w:val="5"/>
        </w:numPr>
        <w:ind w:hanging="360"/>
        <w:rPr>
          <w:rFonts w:ascii="Open Sans" w:eastAsia="Open Sans" w:hAnsi="Open Sans" w:cs="Open Sans"/>
          <w:color w:val="004888"/>
          <w:sz w:val="24"/>
          <w:szCs w:val="24"/>
        </w:rPr>
      </w:pPr>
      <w:bookmarkStart w:id="1" w:name="_gjdgxs" w:colFirst="0" w:colLast="0"/>
      <w:bookmarkEnd w:id="1"/>
      <w:r>
        <w:rPr>
          <w:rFonts w:ascii="Open Sans" w:eastAsia="Open Sans" w:hAnsi="Open Sans" w:cs="Open Sans"/>
          <w:color w:val="004888"/>
          <w:sz w:val="24"/>
          <w:szCs w:val="24"/>
        </w:rPr>
        <w:t>Proven ability to analyse complex information and make decisions/formulate recommendations quickly, communicating information clearly and accessibly.</w:t>
      </w:r>
    </w:p>
    <w:p w14:paraId="678826DC" w14:textId="77777777" w:rsidR="00A840AC" w:rsidRDefault="00A840AC">
      <w:pPr>
        <w:ind w:left="720"/>
        <w:rPr>
          <w:rFonts w:ascii="Open Sans" w:eastAsia="Open Sans" w:hAnsi="Open Sans" w:cs="Open Sans"/>
          <w:color w:val="004888"/>
          <w:sz w:val="24"/>
          <w:szCs w:val="24"/>
        </w:rPr>
      </w:pPr>
      <w:bookmarkStart w:id="2" w:name="_7cja4j5yi41i" w:colFirst="0" w:colLast="0"/>
      <w:bookmarkEnd w:id="2"/>
    </w:p>
    <w:p w14:paraId="6D47BFD4" w14:textId="77777777" w:rsidR="00A840AC" w:rsidRDefault="003718C8">
      <w:pPr>
        <w:numPr>
          <w:ilvl w:val="0"/>
          <w:numId w:val="5"/>
        </w:numPr>
        <w:ind w:hanging="360"/>
        <w:rPr>
          <w:rFonts w:ascii="Open Sans" w:eastAsia="Open Sans" w:hAnsi="Open Sans" w:cs="Open Sans"/>
          <w:color w:val="004888"/>
          <w:sz w:val="24"/>
          <w:szCs w:val="24"/>
        </w:rPr>
      </w:pPr>
      <w:r>
        <w:rPr>
          <w:rFonts w:ascii="Open Sans" w:eastAsia="Open Sans" w:hAnsi="Open Sans" w:cs="Open Sans"/>
          <w:color w:val="004888"/>
          <w:sz w:val="24"/>
          <w:szCs w:val="24"/>
        </w:rPr>
        <w:t>Excellent interpersonal and communication skills including the ability to deliver presentations and build relationships with staff at all levels.</w:t>
      </w:r>
    </w:p>
    <w:p w14:paraId="74971628" w14:textId="77777777" w:rsidR="00A840AC" w:rsidRDefault="00A840AC">
      <w:pPr>
        <w:ind w:left="720"/>
        <w:rPr>
          <w:rFonts w:ascii="Open Sans" w:eastAsia="Open Sans" w:hAnsi="Open Sans" w:cs="Open Sans"/>
          <w:color w:val="004888"/>
          <w:sz w:val="24"/>
          <w:szCs w:val="24"/>
        </w:rPr>
      </w:pPr>
    </w:p>
    <w:p w14:paraId="6339FD55" w14:textId="77777777" w:rsidR="00A840AC" w:rsidRDefault="003718C8">
      <w:pPr>
        <w:numPr>
          <w:ilvl w:val="0"/>
          <w:numId w:val="5"/>
        </w:numPr>
        <w:ind w:hanging="360"/>
        <w:rPr>
          <w:rFonts w:ascii="Open Sans" w:eastAsia="Open Sans" w:hAnsi="Open Sans" w:cs="Open Sans"/>
          <w:color w:val="004888"/>
          <w:sz w:val="24"/>
          <w:szCs w:val="24"/>
        </w:rPr>
      </w:pPr>
      <w:r>
        <w:rPr>
          <w:rFonts w:ascii="Open Sans" w:eastAsia="Open Sans" w:hAnsi="Open Sans" w:cs="Open Sans"/>
          <w:color w:val="004888"/>
          <w:sz w:val="24"/>
          <w:szCs w:val="24"/>
        </w:rPr>
        <w:t>Proven ability to influence and negotiate with senior managers, executives and external stakeholders.</w:t>
      </w:r>
    </w:p>
    <w:p w14:paraId="42B88902" w14:textId="77777777" w:rsidR="00A840AC" w:rsidRDefault="00A840AC">
      <w:pPr>
        <w:ind w:left="720"/>
        <w:rPr>
          <w:rFonts w:ascii="Open Sans" w:eastAsia="Open Sans" w:hAnsi="Open Sans" w:cs="Open Sans"/>
          <w:color w:val="004888"/>
          <w:sz w:val="24"/>
          <w:szCs w:val="24"/>
        </w:rPr>
      </w:pPr>
    </w:p>
    <w:p w14:paraId="3C6CF77B" w14:textId="77777777" w:rsidR="00A840AC" w:rsidRDefault="003718C8">
      <w:pPr>
        <w:numPr>
          <w:ilvl w:val="0"/>
          <w:numId w:val="5"/>
        </w:numPr>
        <w:ind w:hanging="360"/>
        <w:rPr>
          <w:rFonts w:ascii="Open Sans" w:eastAsia="Open Sans" w:hAnsi="Open Sans" w:cs="Open Sans"/>
          <w:color w:val="004888"/>
          <w:sz w:val="24"/>
          <w:szCs w:val="24"/>
        </w:rPr>
      </w:pPr>
      <w:r>
        <w:rPr>
          <w:rFonts w:ascii="Open Sans" w:eastAsia="Open Sans" w:hAnsi="Open Sans" w:cs="Open Sans"/>
          <w:color w:val="004888"/>
          <w:sz w:val="24"/>
          <w:szCs w:val="24"/>
        </w:rPr>
        <w:t>Proven ability to plan and work effectively under pressure to deadlines.</w:t>
      </w:r>
    </w:p>
    <w:p w14:paraId="3B5EF6C9" w14:textId="77777777" w:rsidR="00A840AC" w:rsidRDefault="00A840AC">
      <w:pPr>
        <w:widowControl w:val="0"/>
        <w:tabs>
          <w:tab w:val="left" w:pos="0"/>
          <w:tab w:val="left" w:pos="283"/>
          <w:tab w:val="left" w:pos="1440"/>
          <w:tab w:val="left" w:pos="2160"/>
          <w:tab w:val="left" w:pos="2880"/>
          <w:tab w:val="left" w:pos="3600"/>
          <w:tab w:val="left" w:pos="4320"/>
          <w:tab w:val="left" w:pos="5040"/>
          <w:tab w:val="left" w:pos="5760"/>
          <w:tab w:val="left" w:pos="6480"/>
          <w:tab w:val="left" w:pos="7200"/>
          <w:tab w:val="left" w:pos="7920"/>
        </w:tabs>
        <w:spacing w:after="67"/>
        <w:ind w:left="720"/>
        <w:rPr>
          <w:rFonts w:ascii="Open Sans" w:eastAsia="Open Sans" w:hAnsi="Open Sans" w:cs="Open Sans"/>
          <w:b/>
          <w:color w:val="004888"/>
          <w:sz w:val="24"/>
          <w:szCs w:val="24"/>
        </w:rPr>
      </w:pPr>
    </w:p>
    <w:p w14:paraId="452E5356" w14:textId="77777777" w:rsidR="00A840AC" w:rsidRDefault="00A840AC">
      <w:pPr>
        <w:rPr>
          <w:rFonts w:ascii="Open Sans" w:eastAsia="Open Sans" w:hAnsi="Open Sans" w:cs="Open Sans"/>
          <w:color w:val="004888"/>
          <w:sz w:val="24"/>
          <w:szCs w:val="24"/>
        </w:rPr>
      </w:pPr>
    </w:p>
    <w:p w14:paraId="1D3FEDAD" w14:textId="77777777" w:rsidR="00A840AC" w:rsidRDefault="003718C8">
      <w:pPr>
        <w:rPr>
          <w:rFonts w:ascii="Open Sans" w:eastAsia="Open Sans" w:hAnsi="Open Sans" w:cs="Open Sans"/>
          <w:i/>
          <w:color w:val="004888"/>
          <w:sz w:val="24"/>
          <w:szCs w:val="24"/>
        </w:rPr>
      </w:pPr>
      <w:r>
        <w:rPr>
          <w:rFonts w:ascii="Open Sans" w:eastAsia="Open Sans" w:hAnsi="Open Sans" w:cs="Open Sans"/>
          <w:b/>
          <w:color w:val="004888"/>
          <w:sz w:val="24"/>
          <w:szCs w:val="24"/>
        </w:rPr>
        <w:t xml:space="preserve">Requirements for role </w:t>
      </w:r>
    </w:p>
    <w:p w14:paraId="388DBABF" w14:textId="77777777" w:rsidR="00A840AC" w:rsidRDefault="00A840AC">
      <w:pPr>
        <w:rPr>
          <w:rFonts w:ascii="Open Sans" w:eastAsia="Open Sans" w:hAnsi="Open Sans" w:cs="Open Sans"/>
          <w:color w:val="004888"/>
          <w:sz w:val="24"/>
          <w:szCs w:val="24"/>
        </w:rPr>
      </w:pPr>
    </w:p>
    <w:p w14:paraId="3042145E" w14:textId="77777777" w:rsidR="00A840AC" w:rsidRDefault="003718C8">
      <w:pPr>
        <w:numPr>
          <w:ilvl w:val="0"/>
          <w:numId w:val="9"/>
        </w:numPr>
        <w:rPr>
          <w:rFonts w:ascii="Open Sans" w:eastAsia="Open Sans" w:hAnsi="Open Sans" w:cs="Open Sans"/>
          <w:color w:val="004888"/>
          <w:sz w:val="24"/>
          <w:szCs w:val="24"/>
        </w:rPr>
      </w:pPr>
      <w:r>
        <w:rPr>
          <w:rFonts w:ascii="Open Sans" w:eastAsia="Open Sans" w:hAnsi="Open Sans" w:cs="Open Sans"/>
          <w:color w:val="004888"/>
          <w:sz w:val="24"/>
          <w:szCs w:val="24"/>
        </w:rPr>
        <w:t>Awareness that Citizens Advice clients are at the heart of everything that we do.</w:t>
      </w:r>
    </w:p>
    <w:p w14:paraId="721431F6" w14:textId="77777777" w:rsidR="00A840AC" w:rsidRDefault="00A840AC">
      <w:pPr>
        <w:ind w:left="720"/>
        <w:rPr>
          <w:rFonts w:ascii="Open Sans" w:eastAsia="Open Sans" w:hAnsi="Open Sans" w:cs="Open Sans"/>
          <w:color w:val="004888"/>
          <w:sz w:val="24"/>
          <w:szCs w:val="24"/>
        </w:rPr>
      </w:pPr>
    </w:p>
    <w:p w14:paraId="0BCDA614" w14:textId="77777777" w:rsidR="00A840AC" w:rsidRDefault="003718C8">
      <w:pPr>
        <w:numPr>
          <w:ilvl w:val="0"/>
          <w:numId w:val="9"/>
        </w:numPr>
        <w:rPr>
          <w:rFonts w:ascii="Open Sans" w:eastAsia="Open Sans" w:hAnsi="Open Sans" w:cs="Open Sans"/>
          <w:color w:val="004888"/>
          <w:sz w:val="24"/>
          <w:szCs w:val="24"/>
        </w:rPr>
      </w:pPr>
      <w:r>
        <w:rPr>
          <w:rFonts w:ascii="Open Sans" w:eastAsia="Open Sans" w:hAnsi="Open Sans" w:cs="Open Sans"/>
          <w:color w:val="004888"/>
          <w:sz w:val="24"/>
          <w:szCs w:val="24"/>
        </w:rPr>
        <w:t>A proven commitment to continuing professional development of self and wider team.</w:t>
      </w:r>
    </w:p>
    <w:p w14:paraId="6B68FC8B" w14:textId="77777777" w:rsidR="00A840AC" w:rsidRDefault="00A840AC">
      <w:pPr>
        <w:ind w:left="720"/>
        <w:rPr>
          <w:rFonts w:ascii="Open Sans" w:eastAsia="Open Sans" w:hAnsi="Open Sans" w:cs="Open Sans"/>
          <w:color w:val="004888"/>
          <w:sz w:val="24"/>
          <w:szCs w:val="24"/>
        </w:rPr>
      </w:pPr>
    </w:p>
    <w:p w14:paraId="35AD51F0" w14:textId="77777777" w:rsidR="00A840AC" w:rsidRDefault="003718C8">
      <w:pPr>
        <w:numPr>
          <w:ilvl w:val="0"/>
          <w:numId w:val="9"/>
        </w:numPr>
        <w:rPr>
          <w:rFonts w:ascii="Open Sans" w:eastAsia="Open Sans" w:hAnsi="Open Sans" w:cs="Open Sans"/>
          <w:color w:val="004888"/>
          <w:sz w:val="24"/>
          <w:szCs w:val="24"/>
        </w:rPr>
      </w:pPr>
      <w:r>
        <w:rPr>
          <w:rFonts w:ascii="Open Sans" w:eastAsia="Open Sans" w:hAnsi="Open Sans" w:cs="Open Sans"/>
          <w:color w:val="004888"/>
          <w:sz w:val="24"/>
          <w:szCs w:val="24"/>
        </w:rPr>
        <w:t>IT proficiency including competent use of Google and Microsoft Office.</w:t>
      </w:r>
    </w:p>
    <w:p w14:paraId="552D3E53" w14:textId="77777777" w:rsidR="00A840AC" w:rsidRDefault="00A840AC">
      <w:pPr>
        <w:ind w:left="720"/>
        <w:rPr>
          <w:rFonts w:ascii="Open Sans" w:eastAsia="Open Sans" w:hAnsi="Open Sans" w:cs="Open Sans"/>
          <w:color w:val="004888"/>
          <w:sz w:val="24"/>
          <w:szCs w:val="24"/>
        </w:rPr>
      </w:pPr>
    </w:p>
    <w:p w14:paraId="43BCE3B3" w14:textId="77777777" w:rsidR="00A840AC" w:rsidRDefault="003718C8">
      <w:pPr>
        <w:numPr>
          <w:ilvl w:val="0"/>
          <w:numId w:val="9"/>
        </w:numPr>
        <w:rPr>
          <w:rFonts w:ascii="Open Sans" w:eastAsia="Open Sans" w:hAnsi="Open Sans" w:cs="Open Sans"/>
          <w:color w:val="004888"/>
          <w:sz w:val="24"/>
          <w:szCs w:val="24"/>
        </w:rPr>
      </w:pPr>
      <w:r>
        <w:rPr>
          <w:rFonts w:ascii="Open Sans" w:eastAsia="Open Sans" w:hAnsi="Open Sans" w:cs="Open Sans"/>
          <w:color w:val="004888"/>
          <w:sz w:val="24"/>
          <w:szCs w:val="24"/>
        </w:rPr>
        <w:t>Ability to commit to and work within the values, aims, principles and policies of the Citizens Advice service in which equality and diversity is embedded throughout.</w:t>
      </w:r>
    </w:p>
    <w:p w14:paraId="407812EF" w14:textId="77777777" w:rsidR="00A840AC" w:rsidRDefault="00A840AC">
      <w:pPr>
        <w:ind w:left="720"/>
        <w:rPr>
          <w:rFonts w:ascii="Open Sans" w:eastAsia="Open Sans" w:hAnsi="Open Sans" w:cs="Open Sans"/>
          <w:color w:val="004888"/>
          <w:sz w:val="24"/>
          <w:szCs w:val="24"/>
        </w:rPr>
      </w:pPr>
    </w:p>
    <w:p w14:paraId="597B2A8C" w14:textId="77777777" w:rsidR="00A840AC" w:rsidRDefault="003718C8">
      <w:pPr>
        <w:numPr>
          <w:ilvl w:val="0"/>
          <w:numId w:val="9"/>
        </w:numPr>
        <w:rPr>
          <w:rFonts w:ascii="Open Sans" w:eastAsia="Open Sans" w:hAnsi="Open Sans" w:cs="Open Sans"/>
          <w:color w:val="004888"/>
          <w:sz w:val="24"/>
          <w:szCs w:val="24"/>
        </w:rPr>
      </w:pPr>
      <w:r>
        <w:rPr>
          <w:rFonts w:ascii="Open Sans" w:eastAsia="Open Sans" w:hAnsi="Open Sans" w:cs="Open Sans"/>
          <w:color w:val="004888"/>
          <w:sz w:val="24"/>
          <w:szCs w:val="24"/>
        </w:rPr>
        <w:t>Willingness and ability to work occasional unsocial hours and undertake some travel throughout the UK with some overnight stays.</w:t>
      </w:r>
    </w:p>
    <w:p w14:paraId="651C20E3" w14:textId="77777777" w:rsidR="00A840AC" w:rsidRDefault="00A840AC">
      <w:pPr>
        <w:rPr>
          <w:rFonts w:ascii="Open Sans" w:eastAsia="Open Sans" w:hAnsi="Open Sans" w:cs="Open Sans"/>
          <w:i/>
          <w:color w:val="004888"/>
          <w:sz w:val="24"/>
          <w:szCs w:val="24"/>
        </w:rPr>
      </w:pPr>
    </w:p>
    <w:p w14:paraId="0326911D" w14:textId="77777777" w:rsidR="00A840AC" w:rsidRDefault="003718C8">
      <w:pPr>
        <w:spacing w:after="240"/>
        <w:rPr>
          <w:rFonts w:ascii="Open Sans" w:eastAsia="Open Sans" w:hAnsi="Open Sans" w:cs="Open Sans"/>
          <w:color w:val="004888"/>
          <w:sz w:val="24"/>
          <w:szCs w:val="24"/>
        </w:rPr>
      </w:pPr>
      <w:r>
        <w:rPr>
          <w:rFonts w:ascii="Open Sans" w:eastAsia="Open Sans" w:hAnsi="Open Sans" w:cs="Open Sans"/>
          <w:color w:val="004A88"/>
          <w:sz w:val="24"/>
          <w:szCs w:val="24"/>
        </w:rPr>
        <w:t xml:space="preserve"> </w:t>
      </w:r>
      <w:r>
        <w:rPr>
          <w:rFonts w:ascii="Open Sans" w:eastAsia="Open Sans" w:hAnsi="Open Sans" w:cs="Open Sans"/>
          <w:color w:val="004888"/>
          <w:sz w:val="24"/>
          <w:szCs w:val="24"/>
        </w:rPr>
        <w:t xml:space="preserve"> </w:t>
      </w:r>
    </w:p>
    <w:p w14:paraId="7999C78B" w14:textId="77777777" w:rsidR="00A840AC" w:rsidRDefault="00A840AC">
      <w:pPr>
        <w:spacing w:after="240"/>
        <w:rPr>
          <w:rFonts w:ascii="Open Sans" w:eastAsia="Open Sans" w:hAnsi="Open Sans" w:cs="Open Sans"/>
          <w:color w:val="004888"/>
          <w:sz w:val="24"/>
          <w:szCs w:val="24"/>
        </w:rPr>
      </w:pPr>
    </w:p>
    <w:p w14:paraId="1B8920AD" w14:textId="77777777" w:rsidR="00A840AC" w:rsidRDefault="00A840AC">
      <w:pPr>
        <w:spacing w:after="240"/>
        <w:rPr>
          <w:rFonts w:ascii="Open Sans" w:eastAsia="Open Sans" w:hAnsi="Open Sans" w:cs="Open Sans"/>
          <w:color w:val="004888"/>
          <w:sz w:val="24"/>
          <w:szCs w:val="24"/>
        </w:rPr>
      </w:pPr>
    </w:p>
    <w:p w14:paraId="76B75D18" w14:textId="77777777" w:rsidR="00A840AC" w:rsidRDefault="00A840AC">
      <w:pPr>
        <w:spacing w:after="240"/>
        <w:rPr>
          <w:rFonts w:ascii="Open Sans" w:eastAsia="Open Sans" w:hAnsi="Open Sans" w:cs="Open Sans"/>
          <w:color w:val="004888"/>
          <w:sz w:val="24"/>
          <w:szCs w:val="24"/>
        </w:rPr>
      </w:pPr>
    </w:p>
    <w:p w14:paraId="737B5029" w14:textId="77777777" w:rsidR="00A840AC" w:rsidRDefault="00A840AC">
      <w:pPr>
        <w:spacing w:after="240"/>
        <w:rPr>
          <w:rFonts w:ascii="Open Sans" w:eastAsia="Open Sans" w:hAnsi="Open Sans" w:cs="Open Sans"/>
          <w:color w:val="004888"/>
          <w:sz w:val="24"/>
          <w:szCs w:val="24"/>
        </w:rPr>
      </w:pPr>
    </w:p>
    <w:p w14:paraId="5CBF2B34" w14:textId="77777777" w:rsidR="00A840AC" w:rsidRDefault="00A840AC">
      <w:pPr>
        <w:spacing w:after="240"/>
        <w:rPr>
          <w:rFonts w:ascii="Open Sans" w:eastAsia="Open Sans" w:hAnsi="Open Sans" w:cs="Open Sans"/>
          <w:color w:val="004888"/>
          <w:sz w:val="24"/>
          <w:szCs w:val="24"/>
        </w:rPr>
      </w:pPr>
      <w:bookmarkStart w:id="3" w:name="_GoBack"/>
      <w:bookmarkEnd w:id="3"/>
    </w:p>
    <w:p w14:paraId="2CE962E7" w14:textId="77777777" w:rsidR="00A840AC" w:rsidRDefault="00A840AC">
      <w:pPr>
        <w:spacing w:after="240"/>
        <w:rPr>
          <w:rFonts w:ascii="Open Sans" w:eastAsia="Open Sans" w:hAnsi="Open Sans" w:cs="Open Sans"/>
          <w:color w:val="004888"/>
          <w:sz w:val="24"/>
          <w:szCs w:val="24"/>
        </w:rPr>
      </w:pPr>
    </w:p>
    <w:p w14:paraId="1083F8CF" w14:textId="77777777" w:rsidR="00A840AC" w:rsidRDefault="00A840AC">
      <w:pPr>
        <w:spacing w:after="240"/>
        <w:rPr>
          <w:rFonts w:ascii="Open Sans" w:eastAsia="Open Sans" w:hAnsi="Open Sans" w:cs="Open Sans"/>
          <w:color w:val="004888"/>
          <w:sz w:val="24"/>
          <w:szCs w:val="24"/>
        </w:rPr>
      </w:pPr>
    </w:p>
    <w:p w14:paraId="31ECDC37" w14:textId="77777777" w:rsidR="00A840AC" w:rsidRDefault="00A840AC">
      <w:pPr>
        <w:spacing w:after="240"/>
        <w:rPr>
          <w:rFonts w:ascii="Open Sans" w:eastAsia="Open Sans" w:hAnsi="Open Sans" w:cs="Open Sans"/>
          <w:color w:val="004888"/>
          <w:sz w:val="24"/>
          <w:szCs w:val="24"/>
        </w:rPr>
      </w:pPr>
    </w:p>
    <w:p w14:paraId="66C8FA9A" w14:textId="77777777" w:rsidR="00A840AC" w:rsidRDefault="00A840AC">
      <w:pPr>
        <w:spacing w:after="240"/>
        <w:rPr>
          <w:rFonts w:ascii="Open Sans" w:eastAsia="Open Sans" w:hAnsi="Open Sans" w:cs="Open Sans"/>
          <w:color w:val="004888"/>
          <w:sz w:val="24"/>
          <w:szCs w:val="24"/>
        </w:rPr>
      </w:pPr>
    </w:p>
    <w:p w14:paraId="4742D0DE" w14:textId="77777777" w:rsidR="00A840AC" w:rsidRDefault="00A840AC">
      <w:pPr>
        <w:spacing w:after="240"/>
        <w:rPr>
          <w:rFonts w:ascii="Open Sans" w:eastAsia="Open Sans" w:hAnsi="Open Sans" w:cs="Open Sans"/>
          <w:color w:val="004888"/>
          <w:sz w:val="24"/>
          <w:szCs w:val="24"/>
        </w:rPr>
      </w:pPr>
    </w:p>
    <w:p w14:paraId="6953B634" w14:textId="77777777" w:rsidR="00A840AC" w:rsidRDefault="00A840AC">
      <w:pPr>
        <w:spacing w:after="240"/>
        <w:rPr>
          <w:rFonts w:ascii="Open Sans" w:eastAsia="Open Sans" w:hAnsi="Open Sans" w:cs="Open Sans"/>
          <w:color w:val="004888"/>
          <w:sz w:val="24"/>
          <w:szCs w:val="24"/>
        </w:rPr>
      </w:pPr>
    </w:p>
    <w:p w14:paraId="4B81D5C3" w14:textId="77777777" w:rsidR="00A840AC" w:rsidRDefault="00A840AC">
      <w:pPr>
        <w:spacing w:after="240"/>
        <w:rPr>
          <w:rFonts w:ascii="Open Sans" w:eastAsia="Open Sans" w:hAnsi="Open Sans" w:cs="Open Sans"/>
          <w:color w:val="004888"/>
          <w:sz w:val="24"/>
          <w:szCs w:val="24"/>
        </w:rPr>
      </w:pPr>
    </w:p>
    <w:p w14:paraId="4EF270C2" w14:textId="77777777" w:rsidR="00A840AC" w:rsidRDefault="00A840AC">
      <w:pPr>
        <w:spacing w:after="240"/>
        <w:rPr>
          <w:rFonts w:ascii="Open Sans" w:eastAsia="Open Sans" w:hAnsi="Open Sans" w:cs="Open Sans"/>
          <w:color w:val="004888"/>
          <w:sz w:val="24"/>
          <w:szCs w:val="24"/>
        </w:rPr>
      </w:pPr>
    </w:p>
    <w:p w14:paraId="45DC90ED" w14:textId="77777777" w:rsidR="00A840AC" w:rsidRDefault="003718C8">
      <w:pPr>
        <w:widowControl w:val="0"/>
        <w:spacing w:after="640"/>
        <w:rPr>
          <w:rFonts w:ascii="Open Sans" w:eastAsia="Open Sans" w:hAnsi="Open Sans" w:cs="Open Sans"/>
          <w:color w:val="004888"/>
          <w:sz w:val="28"/>
          <w:szCs w:val="28"/>
        </w:rPr>
      </w:pPr>
      <w:r>
        <w:rPr>
          <w:rFonts w:ascii="Open Sans" w:eastAsia="Open Sans" w:hAnsi="Open Sans" w:cs="Open Sans"/>
          <w:b/>
          <w:color w:val="004888"/>
          <w:sz w:val="54"/>
          <w:szCs w:val="54"/>
        </w:rPr>
        <w:t xml:space="preserve"> </w:t>
      </w:r>
    </w:p>
    <w:sectPr w:rsidR="00A840AC">
      <w:footerReference w:type="default" r:id="rId13"/>
      <w:pgSz w:w="11909" w:h="16834"/>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408A0" w14:textId="77777777" w:rsidR="00A747C3" w:rsidRDefault="00A747C3">
      <w:pPr>
        <w:spacing w:line="240" w:lineRule="auto"/>
      </w:pPr>
      <w:r>
        <w:separator/>
      </w:r>
    </w:p>
  </w:endnote>
  <w:endnote w:type="continuationSeparator" w:id="0">
    <w:p w14:paraId="39BB80FC" w14:textId="77777777" w:rsidR="00A747C3" w:rsidRDefault="00A747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altName w:val="Segoe U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7827C" w14:textId="77777777" w:rsidR="00A747C3" w:rsidRDefault="00A747C3">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B57A7" w14:textId="77777777" w:rsidR="00A747C3" w:rsidRDefault="00A747C3">
      <w:pPr>
        <w:spacing w:line="240" w:lineRule="auto"/>
      </w:pPr>
      <w:r>
        <w:separator/>
      </w:r>
    </w:p>
  </w:footnote>
  <w:footnote w:type="continuationSeparator" w:id="0">
    <w:p w14:paraId="629C0544" w14:textId="77777777" w:rsidR="00A747C3" w:rsidRDefault="00A747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568B"/>
    <w:multiLevelType w:val="multilevel"/>
    <w:tmpl w:val="ACA47D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5F5916"/>
    <w:multiLevelType w:val="multilevel"/>
    <w:tmpl w:val="B1A22CE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4C4478"/>
    <w:multiLevelType w:val="multilevel"/>
    <w:tmpl w:val="E3FE358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AD4009"/>
    <w:multiLevelType w:val="multilevel"/>
    <w:tmpl w:val="AE625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05263E"/>
    <w:multiLevelType w:val="multilevel"/>
    <w:tmpl w:val="7F2E9312"/>
    <w:lvl w:ilvl="0">
      <w:start w:val="1"/>
      <w:numFmt w:val="bullet"/>
      <w:lvlText w:val="-"/>
      <w:lvlJc w:val="left"/>
      <w:pPr>
        <w:ind w:left="410" w:hanging="360"/>
      </w:pPr>
      <w:rPr>
        <w:rFonts w:ascii="Calibri" w:eastAsia="Calibri" w:hAnsi="Calibri" w:cs="Calibri"/>
      </w:rPr>
    </w:lvl>
    <w:lvl w:ilvl="1">
      <w:start w:val="1"/>
      <w:numFmt w:val="bullet"/>
      <w:lvlText w:val="o"/>
      <w:lvlJc w:val="left"/>
      <w:pPr>
        <w:ind w:left="1130" w:hanging="360"/>
      </w:pPr>
      <w:rPr>
        <w:rFonts w:ascii="Courier New" w:eastAsia="Courier New" w:hAnsi="Courier New" w:cs="Courier New"/>
      </w:rPr>
    </w:lvl>
    <w:lvl w:ilvl="2">
      <w:start w:val="1"/>
      <w:numFmt w:val="bullet"/>
      <w:lvlText w:val="▪"/>
      <w:lvlJc w:val="left"/>
      <w:pPr>
        <w:ind w:left="1850" w:hanging="360"/>
      </w:pPr>
      <w:rPr>
        <w:rFonts w:ascii="Noto Sans Symbols" w:eastAsia="Noto Sans Symbols" w:hAnsi="Noto Sans Symbols" w:cs="Noto Sans Symbols"/>
      </w:rPr>
    </w:lvl>
    <w:lvl w:ilvl="3">
      <w:start w:val="1"/>
      <w:numFmt w:val="bullet"/>
      <w:lvlText w:val="●"/>
      <w:lvlJc w:val="left"/>
      <w:pPr>
        <w:ind w:left="2570" w:hanging="360"/>
      </w:pPr>
      <w:rPr>
        <w:rFonts w:ascii="Noto Sans Symbols" w:eastAsia="Noto Sans Symbols" w:hAnsi="Noto Sans Symbols" w:cs="Noto Sans Symbols"/>
      </w:rPr>
    </w:lvl>
    <w:lvl w:ilvl="4">
      <w:start w:val="1"/>
      <w:numFmt w:val="bullet"/>
      <w:lvlText w:val="o"/>
      <w:lvlJc w:val="left"/>
      <w:pPr>
        <w:ind w:left="3290" w:hanging="360"/>
      </w:pPr>
      <w:rPr>
        <w:rFonts w:ascii="Courier New" w:eastAsia="Courier New" w:hAnsi="Courier New" w:cs="Courier New"/>
      </w:rPr>
    </w:lvl>
    <w:lvl w:ilvl="5">
      <w:start w:val="1"/>
      <w:numFmt w:val="bullet"/>
      <w:lvlText w:val="▪"/>
      <w:lvlJc w:val="left"/>
      <w:pPr>
        <w:ind w:left="4010" w:hanging="360"/>
      </w:pPr>
      <w:rPr>
        <w:rFonts w:ascii="Noto Sans Symbols" w:eastAsia="Noto Sans Symbols" w:hAnsi="Noto Sans Symbols" w:cs="Noto Sans Symbols"/>
      </w:rPr>
    </w:lvl>
    <w:lvl w:ilvl="6">
      <w:start w:val="1"/>
      <w:numFmt w:val="bullet"/>
      <w:lvlText w:val="●"/>
      <w:lvlJc w:val="left"/>
      <w:pPr>
        <w:ind w:left="4730" w:hanging="360"/>
      </w:pPr>
      <w:rPr>
        <w:rFonts w:ascii="Noto Sans Symbols" w:eastAsia="Noto Sans Symbols" w:hAnsi="Noto Sans Symbols" w:cs="Noto Sans Symbols"/>
      </w:rPr>
    </w:lvl>
    <w:lvl w:ilvl="7">
      <w:start w:val="1"/>
      <w:numFmt w:val="bullet"/>
      <w:lvlText w:val="o"/>
      <w:lvlJc w:val="left"/>
      <w:pPr>
        <w:ind w:left="5450" w:hanging="360"/>
      </w:pPr>
      <w:rPr>
        <w:rFonts w:ascii="Courier New" w:eastAsia="Courier New" w:hAnsi="Courier New" w:cs="Courier New"/>
      </w:rPr>
    </w:lvl>
    <w:lvl w:ilvl="8">
      <w:start w:val="1"/>
      <w:numFmt w:val="bullet"/>
      <w:lvlText w:val="▪"/>
      <w:lvlJc w:val="left"/>
      <w:pPr>
        <w:ind w:left="6170" w:hanging="360"/>
      </w:pPr>
      <w:rPr>
        <w:rFonts w:ascii="Noto Sans Symbols" w:eastAsia="Noto Sans Symbols" w:hAnsi="Noto Sans Symbols" w:cs="Noto Sans Symbols"/>
      </w:rPr>
    </w:lvl>
  </w:abstractNum>
  <w:abstractNum w:abstractNumId="5" w15:restartNumberingAfterBreak="0">
    <w:nsid w:val="5DD62B54"/>
    <w:multiLevelType w:val="multilevel"/>
    <w:tmpl w:val="DBE451C2"/>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6" w15:restartNumberingAfterBreak="0">
    <w:nsid w:val="65D434A3"/>
    <w:multiLevelType w:val="multilevel"/>
    <w:tmpl w:val="38AA27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66B5D41"/>
    <w:multiLevelType w:val="multilevel"/>
    <w:tmpl w:val="A0903154"/>
    <w:lvl w:ilvl="0">
      <w:start w:val="1"/>
      <w:numFmt w:val="decimal"/>
      <w:lvlText w:val="%1."/>
      <w:lvlJc w:val="left"/>
      <w:pPr>
        <w:ind w:left="720" w:firstLine="1080"/>
      </w:pPr>
    </w:lvl>
    <w:lvl w:ilvl="1">
      <w:start w:val="1"/>
      <w:numFmt w:val="decimal"/>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8" w15:restartNumberingAfterBreak="0">
    <w:nsid w:val="70E54A78"/>
    <w:multiLevelType w:val="multilevel"/>
    <w:tmpl w:val="47A28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2C2579E"/>
    <w:multiLevelType w:val="multilevel"/>
    <w:tmpl w:val="34F89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BA07AB7"/>
    <w:multiLevelType w:val="multilevel"/>
    <w:tmpl w:val="197AB6E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4"/>
  </w:num>
  <w:num w:numId="3">
    <w:abstractNumId w:val="5"/>
  </w:num>
  <w:num w:numId="4">
    <w:abstractNumId w:val="8"/>
  </w:num>
  <w:num w:numId="5">
    <w:abstractNumId w:val="7"/>
  </w:num>
  <w:num w:numId="6">
    <w:abstractNumId w:val="9"/>
  </w:num>
  <w:num w:numId="7">
    <w:abstractNumId w:val="3"/>
  </w:num>
  <w:num w:numId="8">
    <w:abstractNumId w:val="0"/>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840AC"/>
    <w:rsid w:val="00186301"/>
    <w:rsid w:val="00215B2C"/>
    <w:rsid w:val="003718C8"/>
    <w:rsid w:val="00467E1F"/>
    <w:rsid w:val="004C0BF5"/>
    <w:rsid w:val="00572780"/>
    <w:rsid w:val="009A7BDB"/>
    <w:rsid w:val="00A747C3"/>
    <w:rsid w:val="00A840AC"/>
    <w:rsid w:val="00A97D43"/>
    <w:rsid w:val="00BB5442"/>
    <w:rsid w:val="00C017A8"/>
    <w:rsid w:val="00D348A0"/>
    <w:rsid w:val="00DD38AC"/>
    <w:rsid w:val="00E41AFC"/>
    <w:rsid w:val="00E55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5CC91"/>
  <w15:docId w15:val="{266CE728-14DA-49C1-9112-4C6802CA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A7B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BDB"/>
    <w:rPr>
      <w:rFonts w:ascii="Segoe UI" w:hAnsi="Segoe UI" w:cs="Segoe UI"/>
      <w:sz w:val="18"/>
      <w:szCs w:val="18"/>
    </w:rPr>
  </w:style>
  <w:style w:type="paragraph" w:styleId="Header">
    <w:name w:val="header"/>
    <w:basedOn w:val="Normal"/>
    <w:link w:val="HeaderChar"/>
    <w:uiPriority w:val="99"/>
    <w:unhideWhenUsed/>
    <w:rsid w:val="00467E1F"/>
    <w:pPr>
      <w:tabs>
        <w:tab w:val="center" w:pos="4680"/>
        <w:tab w:val="right" w:pos="9360"/>
      </w:tabs>
      <w:spacing w:line="240" w:lineRule="auto"/>
    </w:pPr>
  </w:style>
  <w:style w:type="character" w:customStyle="1" w:styleId="HeaderChar">
    <w:name w:val="Header Char"/>
    <w:basedOn w:val="DefaultParagraphFont"/>
    <w:link w:val="Header"/>
    <w:uiPriority w:val="99"/>
    <w:rsid w:val="00467E1F"/>
  </w:style>
  <w:style w:type="paragraph" w:styleId="Footer">
    <w:name w:val="footer"/>
    <w:basedOn w:val="Normal"/>
    <w:link w:val="FooterChar"/>
    <w:uiPriority w:val="99"/>
    <w:unhideWhenUsed/>
    <w:rsid w:val="00467E1F"/>
    <w:pPr>
      <w:tabs>
        <w:tab w:val="center" w:pos="4680"/>
        <w:tab w:val="right" w:pos="9360"/>
      </w:tabs>
      <w:spacing w:line="240" w:lineRule="auto"/>
    </w:pPr>
  </w:style>
  <w:style w:type="character" w:customStyle="1" w:styleId="FooterChar">
    <w:name w:val="Footer Char"/>
    <w:basedOn w:val="DefaultParagraphFont"/>
    <w:link w:val="Footer"/>
    <w:uiPriority w:val="99"/>
    <w:rsid w:val="00467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8</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Tracy Mcilwraith</cp:lastModifiedBy>
  <cp:revision>4</cp:revision>
  <cp:lastPrinted>2019-01-02T09:38:00Z</cp:lastPrinted>
  <dcterms:created xsi:type="dcterms:W3CDTF">2019-01-02T09:38:00Z</dcterms:created>
  <dcterms:modified xsi:type="dcterms:W3CDTF">2019-01-07T13:17:00Z</dcterms:modified>
</cp:coreProperties>
</file>